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資料№１</w:t>
      </w:r>
    </w:p>
    <w:p>
      <w:pPr>
        <w:pStyle w:val="0"/>
        <w:pBdr>
          <w:bottom w:val="single" w:color="auto" w:sz="4" w:space="1"/>
        </w:pBdr>
        <w:autoSpaceDE w:val="0"/>
        <w:autoSpaceDN w:val="0"/>
        <w:jc w:val="center"/>
        <w:rPr>
          <w:rFonts w:hint="default" w:ascii="ＭＳ ゴシック" w:hAnsi="ＭＳ ゴシック" w:eastAsia="ＭＳ ゴシック"/>
          <w:sz w:val="24"/>
        </w:rPr>
      </w:pPr>
      <w:r>
        <w:rPr>
          <w:rFonts w:hint="eastAsia" w:ascii="ＭＳ ゴシック" w:hAnsi="ＭＳ ゴシック" w:eastAsia="ＭＳ ゴシック"/>
          <w:sz w:val="24"/>
        </w:rPr>
        <w:t>校務分掌組織の制定［組織図作成］について</w:t>
      </w:r>
    </w:p>
    <w:p>
      <w:pPr>
        <w:pStyle w:val="0"/>
        <w:autoSpaceDE w:val="0"/>
        <w:autoSpaceDN w:val="0"/>
        <w:jc w:val="right"/>
        <w:rPr>
          <w:rFonts w:hint="default" w:ascii="ＭＳ 明朝" w:hAnsi="ＭＳ 明朝" w:eastAsia="ＭＳ 明朝"/>
          <w:sz w:val="24"/>
        </w:rPr>
      </w:pPr>
      <w:r>
        <w:rPr>
          <w:rFonts w:hint="eastAsia" w:ascii="ＭＳ 明朝" w:hAnsi="ＭＳ 明朝" w:eastAsia="ＭＳ 明朝"/>
          <w:sz w:val="24"/>
        </w:rPr>
        <w:t>（熱海市立第一小学校）</w:t>
      </w:r>
    </w:p>
    <w:p>
      <w:pPr>
        <w:pStyle w:val="0"/>
        <w:autoSpaceDE w:val="0"/>
        <w:autoSpaceDN w:val="0"/>
        <w:ind w:left="1" w:hanging="1"/>
        <w:rPr>
          <w:rFonts w:hint="default" w:ascii="ＭＳ 明朝" w:hAnsi="ＭＳ 明朝" w:eastAsia="ＭＳ 明朝"/>
          <w:sz w:val="24"/>
        </w:rPr>
      </w:pPr>
    </w:p>
    <w:p>
      <w:pPr>
        <w:pStyle w:val="0"/>
        <w:autoSpaceDE w:val="0"/>
        <w:autoSpaceDN w:val="0"/>
        <w:ind w:left="1" w:hanging="1"/>
        <w:rPr>
          <w:rFonts w:hint="default" w:ascii="ＭＳ ゴシック" w:hAnsi="ＭＳ ゴシック" w:eastAsia="ＭＳ ゴシック"/>
          <w:sz w:val="24"/>
        </w:rPr>
      </w:pPr>
      <w:r>
        <w:rPr>
          <w:rFonts w:hint="eastAsia" w:ascii="ＭＳ ゴシック" w:hAnsi="ＭＳ ゴシック" w:eastAsia="ＭＳ ゴシック"/>
          <w:sz w:val="24"/>
        </w:rPr>
        <w:t>１　実施内容</w:t>
      </w:r>
    </w:p>
    <w:p>
      <w:pPr>
        <w:pStyle w:val="0"/>
        <w:autoSpaceDE w:val="0"/>
        <w:autoSpaceDN w:val="0"/>
        <w:ind w:left="1" w:firstLine="240" w:firstLineChars="100"/>
        <w:rPr>
          <w:rFonts w:hint="default" w:ascii="ＭＳ ゴシック" w:hAnsi="ＭＳ ゴシック" w:eastAsia="ＭＳ ゴシック"/>
          <w:sz w:val="24"/>
        </w:rPr>
      </w:pPr>
      <w:r>
        <w:rPr>
          <w:rFonts w:hint="eastAsia" w:ascii="ＭＳ ゴシック" w:hAnsi="ＭＳ ゴシック" w:eastAsia="ＭＳ ゴシック"/>
          <w:sz w:val="24"/>
        </w:rPr>
        <w:t>(1)</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現行分掌表の整理</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ア　各会の位置づけの確認（主任会、学校サポート委員会等）</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イ　現在設置されている特別委員会の再確認（必要なものは追加、機能していな</w:t>
      </w:r>
    </w:p>
    <w:p>
      <w:pPr>
        <w:pStyle w:val="0"/>
        <w:autoSpaceDE w:val="0"/>
        <w:autoSpaceDN w:val="0"/>
        <w:ind w:left="1" w:firstLine="720" w:firstLineChars="300"/>
        <w:rPr>
          <w:rFonts w:hint="default" w:ascii="ＭＳ 明朝" w:hAnsi="ＭＳ 明朝" w:eastAsia="ＭＳ 明朝"/>
          <w:sz w:val="24"/>
        </w:rPr>
      </w:pPr>
      <w:r>
        <w:rPr>
          <w:rFonts w:hint="eastAsia" w:ascii="ＭＳ 明朝" w:hAnsi="ＭＳ 明朝" w:eastAsia="ＭＳ 明朝"/>
          <w:sz w:val="24"/>
        </w:rPr>
        <w:t>いものは意義を再考）</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ウ　現在の分掌を再確認（必要なものは追加、機能していないものは意義を再考）</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エ　その他軽微な修正</w:t>
      </w:r>
    </w:p>
    <w:p>
      <w:pPr>
        <w:pStyle w:val="0"/>
        <w:autoSpaceDE w:val="0"/>
        <w:autoSpaceDN w:val="0"/>
        <w:ind w:left="1" w:firstLine="240" w:firstLineChars="100"/>
        <w:rPr>
          <w:rFonts w:hint="default" w:ascii="ＭＳ ゴシック" w:hAnsi="ＭＳ ゴシック" w:eastAsia="ＭＳ ゴシック"/>
          <w:sz w:val="24"/>
        </w:rPr>
      </w:pPr>
      <w:r>
        <w:rPr>
          <w:rFonts w:hint="eastAsia" w:ascii="ＭＳ ゴシック" w:hAnsi="ＭＳ ゴシック" w:eastAsia="ＭＳ ゴシック"/>
          <w:sz w:val="24"/>
        </w:rPr>
        <w:t>(2)</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事務職員が学校経営に参画するための組織改編</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ア　管理職及び教務主任との打合せの場（名称は問わない）がある場合は、それ</w:t>
      </w:r>
    </w:p>
    <w:p>
      <w:pPr>
        <w:pStyle w:val="0"/>
        <w:autoSpaceDE w:val="0"/>
        <w:autoSpaceDN w:val="0"/>
        <w:ind w:firstLine="720" w:firstLineChars="300"/>
        <w:rPr>
          <w:rFonts w:hint="default" w:ascii="ＭＳ 明朝" w:hAnsi="ＭＳ 明朝" w:eastAsia="ＭＳ 明朝"/>
          <w:sz w:val="24"/>
        </w:rPr>
      </w:pPr>
      <w:r>
        <w:rPr>
          <w:rFonts w:hint="eastAsia" w:ascii="ＭＳ 明朝" w:hAnsi="ＭＳ 明朝" w:eastAsia="ＭＳ 明朝"/>
          <w:sz w:val="24"/>
        </w:rPr>
        <w:t>を分掌表に位置付け、参加者に事務主任を明記</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イ　分掌表に、直接指導に係るもの（「指導」）と「経営」の枠組を設定し、現在</w:t>
      </w:r>
    </w:p>
    <w:p>
      <w:pPr>
        <w:pStyle w:val="0"/>
        <w:autoSpaceDE w:val="0"/>
        <w:autoSpaceDN w:val="0"/>
        <w:ind w:left="1" w:firstLine="720" w:firstLineChars="300"/>
        <w:rPr>
          <w:rFonts w:hint="default" w:ascii="ＭＳ 明朝" w:hAnsi="ＭＳ 明朝" w:eastAsia="ＭＳ 明朝"/>
          <w:sz w:val="24"/>
        </w:rPr>
      </w:pPr>
      <w:r>
        <w:rPr>
          <w:rFonts w:hint="eastAsia" w:ascii="ＭＳ 明朝" w:hAnsi="ＭＳ 明朝" w:eastAsia="ＭＳ 明朝"/>
          <w:sz w:val="24"/>
        </w:rPr>
        <w:t>設置されている各「部」を分類</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ウ　アイにより改編した組織内における、事務職員の機能を管理職及び教務主任</w:t>
      </w:r>
    </w:p>
    <w:p>
      <w:pPr>
        <w:pStyle w:val="0"/>
        <w:autoSpaceDE w:val="0"/>
        <w:autoSpaceDN w:val="0"/>
        <w:ind w:left="1" w:firstLine="720" w:firstLineChars="300"/>
        <w:rPr>
          <w:rFonts w:hint="default" w:ascii="ＭＳ 明朝" w:hAnsi="ＭＳ 明朝" w:eastAsia="ＭＳ 明朝"/>
          <w:sz w:val="24"/>
        </w:rPr>
      </w:pPr>
      <w:r>
        <w:rPr>
          <w:rFonts w:hint="eastAsia" w:ascii="ＭＳ 明朝" w:hAnsi="ＭＳ 明朝" w:eastAsia="ＭＳ 明朝"/>
          <w:sz w:val="24"/>
        </w:rPr>
        <w:t>と共通理解</w:t>
      </w:r>
    </w:p>
    <w:p>
      <w:pPr>
        <w:pStyle w:val="0"/>
        <w:autoSpaceDE w:val="0"/>
        <w:autoSpaceDN w:val="0"/>
        <w:ind w:left="1" w:firstLine="480" w:firstLineChars="200"/>
        <w:rPr>
          <w:rFonts w:hint="default" w:ascii="ＭＳ 明朝" w:hAnsi="ＭＳ 明朝" w:eastAsia="ＭＳ 明朝"/>
          <w:sz w:val="24"/>
        </w:rPr>
      </w:pPr>
      <w:r>
        <w:rPr>
          <w:rFonts w:hint="eastAsia" w:ascii="ＭＳ 明朝" w:hAnsi="ＭＳ 明朝" w:eastAsia="ＭＳ 明朝"/>
          <w:sz w:val="24"/>
        </w:rPr>
        <w:t>エ　全職員に説明（合意を得る）</w:t>
      </w:r>
    </w:p>
    <w:p>
      <w:pPr>
        <w:pStyle w:val="0"/>
        <w:autoSpaceDE w:val="0"/>
        <w:autoSpaceDN w:val="0"/>
        <w:rPr>
          <w:rFonts w:hint="default" w:ascii="ＭＳ ゴシック" w:hAnsi="ＭＳ ゴシック" w:eastAsia="ＭＳ ゴシック"/>
          <w:sz w:val="24"/>
        </w:rPr>
      </w:pPr>
      <w:r>
        <w:rPr>
          <w:rFonts w:hint="eastAsia" w:ascii="ＭＳ ゴシック" w:hAnsi="ＭＳ ゴシック" w:eastAsia="ＭＳ ゴシック"/>
          <w:sz w:val="24"/>
        </w:rPr>
        <w:t>　</w:t>
      </w:r>
      <w:r>
        <w:rPr>
          <w:rFonts w:hint="eastAsia" w:ascii="ＭＳ ゴシック" w:hAnsi="ＭＳ ゴシック" w:eastAsia="ＭＳ ゴシック"/>
          <w:sz w:val="24"/>
        </w:rPr>
        <w:t>(3)</w:t>
      </w:r>
      <w:r>
        <w:rPr>
          <w:rFonts w:hint="default" w:ascii="ＭＳ ゴシック" w:hAnsi="ＭＳ ゴシック" w:eastAsia="ＭＳ ゴシック"/>
          <w:sz w:val="24"/>
        </w:rPr>
        <w:t xml:space="preserve"> </w:t>
      </w:r>
      <w:r>
        <w:rPr>
          <w:rFonts w:hint="eastAsia" w:ascii="ＭＳ ゴシック" w:hAnsi="ＭＳ ゴシック" w:eastAsia="ＭＳ ゴシック"/>
          <w:sz w:val="24"/>
        </w:rPr>
        <w:t>再編（移管）する役割（担当）を分掌表に明記</w:t>
      </w:r>
    </w:p>
    <w:p>
      <w:pPr>
        <w:pStyle w:val="0"/>
        <w:autoSpaceDE w:val="0"/>
        <w:autoSpaceDN w:val="0"/>
        <w:rPr>
          <w:rFonts w:hint="default" w:ascii="ＭＳ 明朝" w:hAnsi="ＭＳ 明朝" w:eastAsia="ＭＳ 明朝"/>
          <w:sz w:val="24"/>
        </w:rPr>
      </w:pPr>
    </w:p>
    <w:p>
      <w:pPr>
        <w:pStyle w:val="0"/>
        <w:autoSpaceDE w:val="0"/>
        <w:autoSpaceDN w:val="0"/>
        <w:ind w:left="1" w:hanging="1"/>
        <w:rPr>
          <w:rFonts w:hint="default" w:ascii="ＭＳ ゴシック" w:hAnsi="ＭＳ ゴシック" w:eastAsia="ＭＳ ゴシック"/>
          <w:sz w:val="24"/>
        </w:rPr>
      </w:pPr>
      <w:r>
        <w:rPr>
          <w:rFonts w:hint="eastAsia" w:ascii="ＭＳ ゴシック" w:hAnsi="ＭＳ ゴシック" w:eastAsia="ＭＳ ゴシック"/>
          <w:sz w:val="24"/>
        </w:rPr>
        <w:t>２　成果</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従来の組織を改めて見直すことで教員の分掌が整理されたり、新たな組織体制を考えたりするきっかけになる。</w:t>
      </w:r>
    </w:p>
    <w:p>
      <w:pPr>
        <w:pStyle w:val="0"/>
        <w:autoSpaceDE w:val="0"/>
        <w:autoSpaceDN w:val="0"/>
        <w:ind w:left="210" w:leftChars="100" w:firstLine="240" w:firstLineChars="100"/>
        <w:rPr>
          <w:rFonts w:hint="default" w:ascii="ＭＳ 明朝" w:hAnsi="ＭＳ 明朝" w:eastAsia="ＭＳ 明朝"/>
          <w:sz w:val="24"/>
        </w:rPr>
      </w:pPr>
      <w:r>
        <w:rPr>
          <w:rFonts w:hint="eastAsia" w:ascii="ＭＳ 明朝" w:hAnsi="ＭＳ 明朝" w:eastAsia="ＭＳ 明朝"/>
          <w:sz w:val="24"/>
        </w:rPr>
        <w:t>また、再編による分掌を明記することで、のりしろや支援としてではなく、分掌業務としての業務を行うという位置付けを明確にすることができる。</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なお、翌年度以降は、それを基に事務職員が分掌表を作成することも可能となる。</w:t>
      </w:r>
    </w:p>
    <w:p>
      <w:pPr>
        <w:pStyle w:val="0"/>
        <w:autoSpaceDE w:val="0"/>
        <w:autoSpaceDN w:val="0"/>
        <w:ind w:left="1" w:hanging="1"/>
        <w:rPr>
          <w:rFonts w:hint="default" w:ascii="ＭＳ 明朝" w:hAnsi="ＭＳ 明朝" w:eastAsia="ＭＳ 明朝"/>
          <w:sz w:val="24"/>
        </w:rPr>
      </w:pPr>
    </w:p>
    <w:p>
      <w:pPr>
        <w:pStyle w:val="0"/>
        <w:autoSpaceDE w:val="0"/>
        <w:autoSpaceDN w:val="0"/>
        <w:ind w:left="1" w:hanging="1"/>
        <w:rPr>
          <w:rFonts w:hint="default" w:ascii="ＭＳ ゴシック" w:hAnsi="ＭＳ ゴシック" w:eastAsia="ＭＳ ゴシック"/>
          <w:sz w:val="24"/>
        </w:rPr>
      </w:pPr>
      <w:r>
        <w:rPr>
          <w:rFonts w:hint="eastAsia" w:ascii="ＭＳ ゴシック" w:hAnsi="ＭＳ ゴシック" w:eastAsia="ＭＳ ゴシック"/>
          <w:sz w:val="24"/>
        </w:rPr>
        <w:t>３　課題</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組織図の作成という業務自体を、管理職及び事務職員が相互に再編後の事務職員の業務であることを認識し続けないと継続できないと考えるため、市教委が校長（教頭）会を通して、当該業務について事務職員が担当することを標準化する意思表示が必要</w:t>
      </w:r>
      <w:bookmarkStart w:id="0" w:name="_GoBack"/>
      <w:bookmarkEnd w:id="0"/>
      <w:r>
        <w:rPr>
          <w:rFonts w:hint="eastAsia" w:ascii="ＭＳ 明朝" w:hAnsi="ＭＳ 明朝" w:eastAsia="ＭＳ 明朝"/>
          <w:sz w:val="24"/>
        </w:rPr>
        <w:t>（本市では教科書事務の分掌は全校統一されているため、それと同様の手立てによる。）</w:t>
      </w:r>
    </w:p>
    <w:p>
      <w:pPr>
        <w:pStyle w:val="0"/>
        <w:autoSpaceDE w:val="0"/>
        <w:autoSpaceDN w:val="0"/>
        <w:ind w:left="240" w:hanging="240" w:hangingChars="100"/>
        <w:rPr>
          <w:rFonts w:hint="default" w:ascii="ＭＳ 明朝" w:hAnsi="ＭＳ 明朝" w:eastAsia="ＭＳ 明朝"/>
          <w:sz w:val="24"/>
        </w:rPr>
      </w:pPr>
    </w:p>
    <w:p>
      <w:pPr>
        <w:pStyle w:val="0"/>
        <w:autoSpaceDE w:val="0"/>
        <w:autoSpaceDN w:val="0"/>
        <w:ind w:left="1" w:hanging="1"/>
        <w:rPr>
          <w:rFonts w:hint="default" w:ascii="ＭＳ ゴシック" w:hAnsi="ＭＳ ゴシック" w:eastAsia="ＭＳ ゴシック"/>
          <w:sz w:val="24"/>
        </w:rPr>
      </w:pPr>
      <w:r>
        <w:rPr>
          <w:rFonts w:hint="eastAsia" w:ascii="ＭＳ ゴシック" w:hAnsi="ＭＳ ゴシック" w:eastAsia="ＭＳ ゴシック"/>
          <w:sz w:val="24"/>
        </w:rPr>
        <w:t>４　今後の予定</w:t>
      </w:r>
    </w:p>
    <w:p>
      <w:pPr>
        <w:pStyle w:val="0"/>
        <w:autoSpaceDE w:val="0"/>
        <w:autoSpaceDN w:val="0"/>
        <w:ind w:left="240" w:hanging="240" w:hangingChars="100"/>
        <w:rPr>
          <w:rFonts w:hint="default" w:ascii="ＭＳ 明朝" w:hAnsi="ＭＳ 明朝" w:eastAsia="ＭＳ 明朝"/>
          <w:sz w:val="24"/>
        </w:rPr>
      </w:pPr>
      <w:r>
        <w:rPr>
          <w:rFonts w:hint="eastAsia" w:ascii="ＭＳ 明朝" w:hAnsi="ＭＳ 明朝" w:eastAsia="ＭＳ 明朝"/>
          <w:sz w:val="24"/>
        </w:rPr>
        <w:t>　　校長又は教頭が作成する方が効率が良い部分も見受けられるため、事務職員への業務移管をするということに重きを置くよりも、組織を見直す時点において事務主任として参画できる体制を作ることの方が重要と考える。</w:t>
      </w:r>
    </w:p>
    <w:sectPr>
      <w:headerReference r:id="rId6" w:type="even"/>
      <w:headerReference r:id="rId7" w:type="default"/>
      <w:footerReference r:id="rId9" w:type="even"/>
      <w:footerReference r:id="rId10" w:type="default"/>
      <w:headerReference r:id="rId5" w:type="first"/>
      <w:footerReference r:id="rId8" w:type="first"/>
      <w:pgSz w:w="11906" w:h="16838"/>
      <w:pgMar w:top="1418" w:right="1418" w:bottom="851" w:left="1418" w:header="851" w:footer="73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table" w:styleId="19">
    <w:name w:val="Table Grid"/>
    <w:basedOn w:val="11"/>
    <w:next w:val="1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百瀨　栄司</cp:lastModifiedBy>
  <dcterms:modified xsi:type="dcterms:W3CDTF">2024-07-29T06:18:14Z</dcterms:modified>
  <cp:revision>0</cp:revision>
</cp:coreProperties>
</file>