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58" w:tblpY="330"/>
        <w:tblOverlap w:val="never"/>
        <w:tblW w:w="9483"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63"/>
        <w:gridCol w:w="5220"/>
        <w:gridCol w:w="1440"/>
        <w:gridCol w:w="1260"/>
      </w:tblGrid>
      <w:tr>
        <w:trPr>
          <w:cantSplit/>
          <w:trHeight w:val="363" w:hRule="atLeast"/>
        </w:trPr>
        <w:tc>
          <w:tcPr>
            <w:tcW w:w="1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0"/>
                <w:w w:val="100"/>
                <w:sz w:val="20"/>
              </w:rPr>
            </w:pPr>
            <w:r>
              <w:rPr>
                <w:rFonts w:hint="eastAsia" w:ascii="ＭＳ 明朝" w:hAnsi="ＭＳ 明朝" w:eastAsia="ＭＳ 明朝"/>
                <w:spacing w:val="0"/>
                <w:w w:val="100"/>
                <w:sz w:val="20"/>
              </w:rPr>
              <w:t>対象経費</w:t>
            </w:r>
          </w:p>
        </w:tc>
        <w:tc>
          <w:tcPr>
            <w:tcW w:w="52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0"/>
                <w:w w:val="100"/>
                <w:sz w:val="20"/>
              </w:rPr>
            </w:pPr>
            <w:r>
              <w:rPr>
                <w:rFonts w:hint="eastAsia" w:ascii="ＭＳ 明朝" w:hAnsi="ＭＳ 明朝" w:eastAsia="ＭＳ 明朝"/>
                <w:spacing w:val="0"/>
                <w:w w:val="100"/>
                <w:sz w:val="20"/>
              </w:rPr>
              <w:t>補助基準額</w:t>
            </w:r>
          </w:p>
        </w:tc>
        <w:tc>
          <w:tcPr>
            <w:tcW w:w="14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0"/>
                <w:w w:val="100"/>
                <w:sz w:val="20"/>
              </w:rPr>
            </w:pPr>
            <w:r>
              <w:rPr>
                <w:rFonts w:hint="eastAsia" w:ascii="ＭＳ 明朝" w:hAnsi="ＭＳ 明朝" w:eastAsia="ＭＳ 明朝"/>
                <w:spacing w:val="0"/>
                <w:w w:val="100"/>
                <w:sz w:val="20"/>
              </w:rPr>
              <w:t>補助率</w:t>
            </w:r>
          </w:p>
        </w:tc>
        <w:tc>
          <w:tcPr>
            <w:tcW w:w="1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0"/>
                <w:w w:val="100"/>
                <w:sz w:val="20"/>
              </w:rPr>
            </w:pPr>
            <w:r>
              <w:rPr>
                <w:rFonts w:hint="eastAsia" w:ascii="ＭＳ 明朝" w:hAnsi="ＭＳ 明朝" w:eastAsia="ＭＳ 明朝"/>
                <w:spacing w:val="0"/>
                <w:w w:val="100"/>
                <w:sz w:val="20"/>
              </w:rPr>
              <w:t>補助額</w:t>
            </w:r>
          </w:p>
        </w:tc>
      </w:tr>
      <w:tr>
        <w:trPr>
          <w:cantSplit/>
          <w:trHeight w:val="11507" w:hRule="atLeast"/>
        </w:trPr>
        <w:tc>
          <w:tcPr>
            <w:tcW w:w="15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ind w:leftChars="0" w:firstLine="0" w:firstLineChars="0"/>
              <w:rPr>
                <w:rFonts w:hint="eastAsia" w:ascii="ＭＳ 明朝" w:hAnsi="ＭＳ 明朝" w:eastAsia="ＭＳ 明朝"/>
                <w:spacing w:val="0"/>
                <w:w w:val="100"/>
                <w:sz w:val="20"/>
              </w:rPr>
            </w:pPr>
            <w:r>
              <w:rPr>
                <w:rFonts w:hint="eastAsia" w:ascii="ＭＳ 明朝" w:hAnsi="ＭＳ 明朝" w:eastAsia="ＭＳ 明朝"/>
                <w:spacing w:val="0"/>
                <w:w w:val="100"/>
                <w:sz w:val="20"/>
              </w:rPr>
              <w:t>地域医療勤務環境改善体制整備事業に要する経費</w:t>
            </w:r>
          </w:p>
          <w:p>
            <w:pPr>
              <w:pStyle w:val="0"/>
              <w:spacing w:line="360" w:lineRule="auto"/>
              <w:ind w:leftChars="0" w:firstLine="0" w:firstLineChars="0"/>
              <w:jc w:val="left"/>
              <w:rPr>
                <w:rFonts w:hint="eastAsia" w:ascii="ＭＳ 明朝" w:hAnsi="ＭＳ 明朝" w:eastAsia="ＭＳ 明朝"/>
                <w:spacing w:val="0"/>
                <w:w w:val="100"/>
                <w:sz w:val="20"/>
              </w:rPr>
            </w:pPr>
            <w:r>
              <w:rPr>
                <w:rFonts w:hint="eastAsia" w:ascii="ＭＳ 明朝" w:hAnsi="ＭＳ 明朝" w:eastAsia="ＭＳ 明朝"/>
                <w:spacing w:val="0"/>
                <w:w w:val="100"/>
                <w:sz w:val="20"/>
              </w:rPr>
              <w:t>（注）　診療報酬により医師事務作業補助体制加算及び看護補助加算を取得している場合、その加算の対象範囲において更に本事業の対象とすることはできないが、その加算を取得していない場合又は加算を取得していてもその加算対象とならない範囲においては本事業の対象とすることができる。</w:t>
            </w:r>
          </w:p>
        </w:tc>
        <w:tc>
          <w:tcPr>
            <w:tcW w:w="5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60" w:lineRule="auto"/>
              <w:ind w:leftChars="0" w:firstLineChars="0"/>
              <w:jc w:val="left"/>
              <w:rPr>
                <w:rFonts w:hint="eastAsia" w:ascii="ＭＳ 明朝" w:hAnsi="ＭＳ 明朝" w:eastAsia="ＭＳ 明朝"/>
                <w:color w:val="auto"/>
                <w:spacing w:val="0"/>
                <w:w w:val="100"/>
                <w:sz w:val="20"/>
              </w:rPr>
            </w:pPr>
            <w:r>
              <w:rPr>
                <w:rFonts w:hint="eastAsia" w:ascii="ＭＳ 明朝" w:hAnsi="ＭＳ 明朝" w:eastAsia="ＭＳ 明朝"/>
                <w:color w:val="auto"/>
                <w:spacing w:val="0"/>
                <w:w w:val="100"/>
                <w:sz w:val="20"/>
              </w:rPr>
              <w:t>　病床機能報告により、知事へ報告している最大使用病床数（療養病床を除く。第２（３）ウ（ア）において「精神科救急」を根拠とする対象医療機関の場合は病床機能報告における同時点での精神病床の最大使用病床数とする</w:t>
            </w:r>
            <w:r>
              <w:rPr>
                <w:rFonts w:hint="eastAsia" w:ascii="ＭＳ 明朝" w:hAnsi="ＭＳ 明朝" w:eastAsia="ＭＳ 明朝"/>
                <w:color w:val="auto"/>
                <w:spacing w:val="0"/>
                <w:w w:val="100"/>
                <w:sz w:val="20"/>
                <w:u w:val="none" w:color="auto"/>
              </w:rPr>
              <w:t>。</w:t>
            </w:r>
            <w:r>
              <w:rPr>
                <w:rFonts w:hint="eastAsia" w:ascii="ＭＳ 明朝" w:hAnsi="ＭＳ 明朝" w:eastAsia="ＭＳ 明朝"/>
                <w:color w:val="auto"/>
                <w:spacing w:val="50"/>
                <w:w w:val="100"/>
                <w:sz w:val="20"/>
                <w:u w:val="none" w:color="auto"/>
                <w:fitText w:val="200" w:id="1"/>
              </w:rPr>
              <w:t>）</w:t>
            </w:r>
            <w:r>
              <w:rPr>
                <w:rFonts w:hint="eastAsia" w:ascii="ＭＳ 明朝" w:hAnsi="ＭＳ 明朝" w:eastAsia="ＭＳ 明朝"/>
                <w:color w:val="auto"/>
                <w:spacing w:val="0"/>
                <w:w w:val="100"/>
                <w:sz w:val="20"/>
              </w:rPr>
              <w:t>１床当たり、</w:t>
            </w:r>
            <w:r>
              <w:rPr>
                <w:rFonts w:hint="eastAsia" w:ascii="ＭＳ 明朝" w:hAnsi="ＭＳ 明朝" w:eastAsia="ＭＳ 明朝"/>
                <w:color w:val="auto"/>
                <w:spacing w:val="0"/>
                <w:w w:val="100"/>
                <w:sz w:val="20"/>
              </w:rPr>
              <w:t>133</w:t>
            </w:r>
            <w:r>
              <w:rPr>
                <w:rFonts w:hint="eastAsia" w:ascii="ＭＳ 明朝" w:hAnsi="ＭＳ 明朝" w:eastAsia="ＭＳ 明朝"/>
                <w:color w:val="auto"/>
                <w:spacing w:val="0"/>
                <w:w w:val="100"/>
                <w:sz w:val="20"/>
              </w:rPr>
              <w:t>千円を単価とし、当該病床数に乗じて得た額を補助額の基準とする。ただし、報告している病床数が</w:t>
            </w:r>
            <w:r>
              <w:rPr>
                <w:rFonts w:hint="eastAsia" w:ascii="ＭＳ 明朝" w:hAnsi="ＭＳ 明朝" w:eastAsia="ＭＳ 明朝"/>
                <w:color w:val="auto"/>
                <w:spacing w:val="0"/>
                <w:w w:val="100"/>
                <w:sz w:val="20"/>
              </w:rPr>
              <w:t>20</w:t>
            </w:r>
            <w:r>
              <w:rPr>
                <w:rFonts w:hint="eastAsia" w:ascii="ＭＳ 明朝" w:hAnsi="ＭＳ 明朝" w:eastAsia="ＭＳ 明朝"/>
                <w:color w:val="auto"/>
                <w:spacing w:val="0"/>
                <w:w w:val="100"/>
                <w:sz w:val="20"/>
              </w:rPr>
              <w:t>床未満の場合は、</w:t>
            </w:r>
            <w:r>
              <w:rPr>
                <w:rFonts w:hint="eastAsia" w:ascii="ＭＳ 明朝" w:hAnsi="ＭＳ 明朝" w:eastAsia="ＭＳ 明朝"/>
                <w:color w:val="auto"/>
                <w:spacing w:val="0"/>
                <w:w w:val="100"/>
                <w:sz w:val="20"/>
              </w:rPr>
              <w:t>20</w:t>
            </w:r>
            <w:r>
              <w:rPr>
                <w:rFonts w:hint="eastAsia" w:ascii="ＭＳ 明朝" w:hAnsi="ＭＳ 明朝" w:eastAsia="ＭＳ 明朝"/>
                <w:color w:val="auto"/>
                <w:spacing w:val="0"/>
                <w:w w:val="100"/>
                <w:sz w:val="20"/>
              </w:rPr>
              <w:t>床として算定する。なお、以下の（ア）又は（イ）のいずれかを満たす場合に、１床当たりの単価を</w:t>
            </w:r>
            <w:r>
              <w:rPr>
                <w:rFonts w:hint="eastAsia" w:ascii="ＭＳ 明朝" w:hAnsi="ＭＳ 明朝" w:eastAsia="ＭＳ 明朝"/>
                <w:color w:val="auto"/>
                <w:spacing w:val="0"/>
                <w:w w:val="100"/>
                <w:sz w:val="20"/>
              </w:rPr>
              <w:t>266</w:t>
            </w:r>
            <w:r>
              <w:rPr>
                <w:rFonts w:hint="eastAsia" w:ascii="ＭＳ 明朝" w:hAnsi="ＭＳ 明朝" w:eastAsia="ＭＳ 明朝"/>
                <w:color w:val="auto"/>
                <w:spacing w:val="0"/>
                <w:w w:val="100"/>
                <w:sz w:val="20"/>
              </w:rPr>
              <w:t>千円とする。</w:t>
            </w:r>
          </w:p>
          <w:p>
            <w:pPr>
              <w:pStyle w:val="0"/>
              <w:snapToGrid w:val="0"/>
              <w:spacing w:line="360" w:lineRule="auto"/>
              <w:ind w:leftChars="0" w:hanging="620" w:hangingChars="310"/>
              <w:jc w:val="left"/>
              <w:rPr>
                <w:rFonts w:hint="eastAsia" w:ascii="ＭＳ 明朝" w:hAnsi="ＭＳ 明朝" w:eastAsia="ＭＳ 明朝"/>
                <w:color w:val="auto"/>
                <w:spacing w:val="0"/>
                <w:w w:val="100"/>
                <w:sz w:val="20"/>
              </w:rPr>
            </w:pPr>
            <w:r>
              <w:rPr>
                <w:rFonts w:hint="eastAsia" w:ascii="ＭＳ 明朝" w:hAnsi="ＭＳ 明朝" w:eastAsia="ＭＳ 明朝"/>
                <w:color w:val="auto"/>
                <w:spacing w:val="0"/>
                <w:w w:val="100"/>
                <w:sz w:val="20"/>
              </w:rPr>
              <w:t>（ア）　「大学病院改革ガイドライン」に基づき、「大学病院改革プラン」を策定した大学病院本院であること。</w:t>
            </w:r>
          </w:p>
          <w:p>
            <w:pPr>
              <w:pStyle w:val="0"/>
              <w:snapToGrid w:val="0"/>
              <w:spacing w:line="360" w:lineRule="auto"/>
              <w:ind w:left="621" w:leftChars="13" w:hanging="592" w:hangingChars="296"/>
              <w:jc w:val="left"/>
              <w:rPr>
                <w:rFonts w:hint="eastAsia" w:ascii="ＭＳ 明朝" w:hAnsi="ＭＳ 明朝" w:eastAsia="ＭＳ 明朝"/>
                <w:color w:val="auto"/>
                <w:spacing w:val="0"/>
                <w:w w:val="100"/>
                <w:sz w:val="20"/>
              </w:rPr>
            </w:pPr>
            <w:r>
              <w:rPr>
                <w:rFonts w:hint="eastAsia" w:ascii="ＭＳ 明朝" w:hAnsi="ＭＳ 明朝" w:eastAsia="ＭＳ 明朝"/>
                <w:color w:val="auto"/>
                <w:spacing w:val="0"/>
                <w:w w:val="100"/>
                <w:sz w:val="20"/>
              </w:rPr>
              <w:t>（イ）　医療機関勤務環境評価センターの評価を受審した特定地域医療提供機関又は連携型特定地域医療提供機関であって、各年度において、下表に示す時間外・休日労働時間を超過する</w:t>
            </w:r>
            <w:r>
              <w:rPr>
                <w:rFonts w:hint="eastAsia" w:ascii="ＭＳ 明朝" w:hAnsi="ＭＳ 明朝" w:eastAsia="ＭＳ 明朝"/>
                <w:color w:val="auto"/>
                <w:spacing w:val="0"/>
                <w:w w:val="100"/>
                <w:sz w:val="20"/>
              </w:rPr>
              <w:t>36</w:t>
            </w:r>
            <w:r>
              <w:rPr>
                <w:rFonts w:hint="eastAsia" w:ascii="ＭＳ 明朝" w:hAnsi="ＭＳ 明朝" w:eastAsia="ＭＳ 明朝"/>
                <w:color w:val="auto"/>
                <w:spacing w:val="0"/>
                <w:w w:val="100"/>
                <w:sz w:val="20"/>
              </w:rPr>
              <w:t>協定を締結する特定地域医療提供機関で勤務する医師（以下「Ｂ水準医師」という</w:t>
            </w:r>
            <w:r>
              <w:rPr>
                <w:rFonts w:hint="eastAsia" w:ascii="ＭＳ 明朝" w:hAnsi="ＭＳ 明朝" w:eastAsia="ＭＳ 明朝"/>
                <w:color w:val="auto"/>
                <w:spacing w:val="0"/>
                <w:w w:val="100"/>
                <w:sz w:val="20"/>
                <w:u w:val="none" w:color="auto"/>
              </w:rPr>
              <w:t>。</w:t>
            </w:r>
            <w:r>
              <w:rPr>
                <w:rFonts w:hint="eastAsia" w:ascii="ＭＳ 明朝" w:hAnsi="ＭＳ 明朝" w:eastAsia="ＭＳ 明朝"/>
                <w:color w:val="auto"/>
                <w:spacing w:val="50"/>
                <w:w w:val="100"/>
                <w:sz w:val="20"/>
                <w:u w:val="none" w:color="auto"/>
                <w:fitText w:val="200" w:id="2"/>
              </w:rPr>
              <w:t>）</w:t>
            </w:r>
            <w:r>
              <w:rPr>
                <w:rFonts w:hint="eastAsia" w:ascii="ＭＳ 明朝" w:hAnsi="ＭＳ 明朝" w:eastAsia="ＭＳ 明朝"/>
                <w:color w:val="auto"/>
                <w:spacing w:val="0"/>
                <w:w w:val="100"/>
                <w:sz w:val="20"/>
              </w:rPr>
              <w:t>又は連携型特定地域医療提供機関で勤務する医師（以下「連携Ｂ水準医師」という</w:t>
            </w:r>
            <w:r>
              <w:rPr>
                <w:rFonts w:hint="eastAsia" w:ascii="ＭＳ 明朝" w:hAnsi="ＭＳ 明朝" w:eastAsia="ＭＳ 明朝"/>
                <w:color w:val="auto"/>
                <w:spacing w:val="0"/>
                <w:w w:val="100"/>
                <w:sz w:val="20"/>
                <w:u w:val="none" w:color="auto"/>
              </w:rPr>
              <w:t>。</w:t>
            </w:r>
            <w:r>
              <w:rPr>
                <w:rFonts w:hint="eastAsia" w:ascii="ＭＳ 明朝" w:hAnsi="ＭＳ 明朝" w:eastAsia="ＭＳ 明朝"/>
                <w:color w:val="auto"/>
                <w:spacing w:val="50"/>
                <w:w w:val="100"/>
                <w:sz w:val="20"/>
                <w:u w:val="none" w:color="auto"/>
                <w:fitText w:val="200" w:id="3"/>
              </w:rPr>
              <w:t>）</w:t>
            </w:r>
            <w:r>
              <w:rPr>
                <w:rFonts w:hint="eastAsia" w:ascii="ＭＳ 明朝" w:hAnsi="ＭＳ 明朝" w:eastAsia="ＭＳ 明朝"/>
                <w:color w:val="auto"/>
                <w:spacing w:val="0"/>
                <w:w w:val="100"/>
                <w:sz w:val="20"/>
              </w:rPr>
              <w:t>がいなかったこと。また、面接指導養成講習を修了している者（以下「面接指導実施医師」という</w:t>
            </w:r>
            <w:r>
              <w:rPr>
                <w:rFonts w:hint="eastAsia" w:ascii="ＭＳ 明朝" w:hAnsi="ＭＳ 明朝" w:eastAsia="ＭＳ 明朝"/>
                <w:color w:val="auto"/>
                <w:spacing w:val="0"/>
                <w:w w:val="100"/>
                <w:sz w:val="20"/>
                <w:u w:val="none" w:color="auto"/>
              </w:rPr>
              <w:t>。</w:t>
            </w:r>
            <w:r>
              <w:rPr>
                <w:rFonts w:hint="eastAsia" w:ascii="ＭＳ 明朝" w:hAnsi="ＭＳ 明朝" w:eastAsia="ＭＳ 明朝"/>
                <w:color w:val="auto"/>
                <w:spacing w:val="50"/>
                <w:w w:val="100"/>
                <w:sz w:val="20"/>
                <w:u w:val="none" w:color="auto"/>
                <w:fitText w:val="200" w:id="4"/>
              </w:rPr>
              <w:t>）</w:t>
            </w:r>
            <w:r>
              <w:rPr>
                <w:rFonts w:hint="eastAsia" w:ascii="ＭＳ 明朝" w:hAnsi="ＭＳ 明朝" w:eastAsia="ＭＳ 明朝"/>
                <w:color w:val="auto"/>
                <w:spacing w:val="0"/>
                <w:w w:val="100"/>
                <w:sz w:val="20"/>
              </w:rPr>
              <w:t>が、３人以上又は特定対象医師</w:t>
            </w:r>
            <w:r>
              <w:rPr>
                <w:rFonts w:hint="eastAsia" w:ascii="ＭＳ 明朝" w:hAnsi="ＭＳ 明朝" w:eastAsia="ＭＳ 明朝"/>
                <w:color w:val="auto"/>
                <w:spacing w:val="0"/>
                <w:w w:val="100"/>
                <w:sz w:val="20"/>
              </w:rPr>
              <w:t>10</w:t>
            </w:r>
            <w:r>
              <w:rPr>
                <w:rFonts w:hint="eastAsia" w:ascii="ＭＳ 明朝" w:hAnsi="ＭＳ 明朝" w:eastAsia="ＭＳ 明朝"/>
                <w:color w:val="auto"/>
                <w:spacing w:val="0"/>
                <w:w w:val="100"/>
                <w:sz w:val="20"/>
              </w:rPr>
              <w:t>人あたり１人以上いること。</w:t>
            </w:r>
          </w:p>
          <w:p>
            <w:pPr>
              <w:pStyle w:val="0"/>
              <w:snapToGrid w:val="0"/>
              <w:spacing w:line="360" w:lineRule="auto"/>
              <w:ind w:left="621" w:leftChars="13" w:hanging="592" w:hangingChars="296"/>
              <w:jc w:val="left"/>
              <w:rPr>
                <w:rFonts w:hint="eastAsia" w:ascii="ＭＳ 明朝" w:hAnsi="ＭＳ 明朝" w:eastAsia="ＭＳ 明朝"/>
                <w:color w:val="auto"/>
                <w:spacing w:val="0"/>
                <w:w w:val="100"/>
                <w:sz w:val="20"/>
              </w:rPr>
            </w:pPr>
            <w:r>
              <w:rPr>
                <w:rFonts w:hint="eastAsia" w:ascii="ＭＳ 明朝" w:hAnsi="ＭＳ 明朝" w:eastAsia="ＭＳ 明朝"/>
                <w:color w:val="auto"/>
                <w:spacing w:val="0"/>
                <w:w w:val="100"/>
                <w:sz w:val="20"/>
              </w:rPr>
              <w:t>　　　（表）</w:t>
            </w:r>
          </w:p>
          <w:tbl>
            <w:tblPr>
              <w:tblStyle w:val="21"/>
              <w:tblW w:w="0" w:type="auto"/>
              <w:tblInd w:w="621" w:type="dxa"/>
              <w:tblLayout w:type="fixed"/>
              <w:tblLook w:firstRow="1" w:lastRow="0" w:firstColumn="1" w:lastColumn="0" w:noHBand="0" w:noVBand="1" w:val="04A0"/>
            </w:tblPr>
            <w:tblGrid>
              <w:gridCol w:w="1349"/>
              <w:gridCol w:w="1970"/>
            </w:tblGrid>
            <w:tr>
              <w:trPr/>
              <w:tc>
                <w:tcPr>
                  <w:tcW w:w="1349" w:type="dxa"/>
                  <w:vAlign w:val="center"/>
                </w:tcPr>
                <w:p>
                  <w:pPr>
                    <w:pStyle w:val="0"/>
                    <w:jc w:val="center"/>
                    <w:rPr>
                      <w:rFonts w:hint="eastAsia" w:ascii="ＭＳ 明朝" w:hAnsi="ＭＳ 明朝" w:eastAsia="ＭＳ 明朝"/>
                    </w:rPr>
                  </w:pPr>
                  <w:r>
                    <w:rPr>
                      <w:rFonts w:hint="eastAsia" w:ascii="ＭＳ 明朝" w:hAnsi="ＭＳ 明朝" w:eastAsia="ＭＳ 明朝"/>
                    </w:rPr>
                    <w:t>令和６年度</w:t>
                  </w:r>
                </w:p>
              </w:tc>
              <w:tc>
                <w:tcPr>
                  <w:tcW w:w="1970" w:type="dxa"/>
                  <w:vAlign w:val="center"/>
                </w:tcPr>
                <w:p>
                  <w:pPr>
                    <w:pStyle w:val="0"/>
                    <w:suppressAutoHyphens w:val="1"/>
                    <w:jc w:val="center"/>
                    <w:textAlignment w:val="baseline"/>
                    <w:rPr>
                      <w:rFonts w:hint="eastAsia" w:ascii="ＭＳ 明朝" w:hAnsi="ＭＳ 明朝" w:eastAsia="ＭＳ 明朝"/>
                      <w:spacing w:val="10"/>
                      <w:kern w:val="0"/>
                      <w:sz w:val="22"/>
                    </w:rPr>
                  </w:pPr>
                  <w:r>
                    <w:rPr>
                      <w:rFonts w:hint="eastAsia" w:ascii="ＭＳ 明朝" w:hAnsi="ＭＳ 明朝" w:eastAsia="ＭＳ 明朝"/>
                      <w:sz w:val="22"/>
                    </w:rPr>
                    <w:t>1,860</w:t>
                  </w:r>
                  <w:r>
                    <w:rPr>
                      <w:rFonts w:hint="eastAsia" w:ascii="ＭＳ 明朝" w:hAnsi="ＭＳ 明朝" w:eastAsia="ＭＳ 明朝"/>
                      <w:sz w:val="22"/>
                    </w:rPr>
                    <w:t>時間</w:t>
                  </w:r>
                </w:p>
              </w:tc>
            </w:tr>
            <w:tr>
              <w:trPr/>
              <w:tc>
                <w:tcPr>
                  <w:tcW w:w="1349" w:type="dxa"/>
                  <w:vAlign w:val="center"/>
                </w:tcPr>
                <w:p>
                  <w:pPr>
                    <w:pStyle w:val="0"/>
                    <w:jc w:val="center"/>
                    <w:rPr>
                      <w:rFonts w:hint="eastAsia" w:ascii="ＭＳ 明朝" w:hAnsi="ＭＳ 明朝" w:eastAsia="ＭＳ 明朝"/>
                    </w:rPr>
                  </w:pPr>
                  <w:r>
                    <w:rPr>
                      <w:rFonts w:hint="eastAsia" w:ascii="ＭＳ 明朝" w:hAnsi="ＭＳ 明朝" w:eastAsia="ＭＳ 明朝"/>
                    </w:rPr>
                    <w:t>令和７年度</w:t>
                  </w:r>
                </w:p>
              </w:tc>
              <w:tc>
                <w:tcPr>
                  <w:tcW w:w="1970" w:type="dxa"/>
                  <w:vAlign w:val="center"/>
                </w:tcPr>
                <w:p>
                  <w:pPr>
                    <w:pStyle w:val="0"/>
                    <w:suppressAutoHyphens w:val="1"/>
                    <w:jc w:val="center"/>
                    <w:textAlignment w:val="baseline"/>
                    <w:rPr>
                      <w:rFonts w:hint="eastAsia" w:ascii="ＭＳ 明朝" w:hAnsi="ＭＳ 明朝" w:eastAsia="ＭＳ 明朝"/>
                      <w:spacing w:val="10"/>
                      <w:kern w:val="0"/>
                      <w:sz w:val="22"/>
                    </w:rPr>
                  </w:pPr>
                  <w:r>
                    <w:rPr>
                      <w:rFonts w:hint="eastAsia" w:ascii="ＭＳ 明朝" w:hAnsi="ＭＳ 明朝" w:eastAsia="ＭＳ 明朝"/>
                      <w:sz w:val="22"/>
                    </w:rPr>
                    <w:t>1,785</w:t>
                  </w:r>
                  <w:r>
                    <w:rPr>
                      <w:rFonts w:hint="eastAsia" w:ascii="ＭＳ 明朝" w:hAnsi="ＭＳ 明朝" w:eastAsia="ＭＳ 明朝"/>
                      <w:spacing w:val="10"/>
                      <w:kern w:val="0"/>
                      <w:sz w:val="22"/>
                    </w:rPr>
                    <w:t>時間</w:t>
                  </w:r>
                </w:p>
              </w:tc>
            </w:tr>
            <w:tr>
              <w:trPr/>
              <w:tc>
                <w:tcPr>
                  <w:tcW w:w="1349" w:type="dxa"/>
                  <w:vAlign w:val="center"/>
                </w:tcPr>
                <w:p>
                  <w:pPr>
                    <w:pStyle w:val="0"/>
                    <w:jc w:val="center"/>
                    <w:rPr>
                      <w:rFonts w:hint="eastAsia" w:ascii="ＭＳ 明朝" w:hAnsi="ＭＳ 明朝" w:eastAsia="ＭＳ 明朝"/>
                    </w:rPr>
                  </w:pPr>
                  <w:r>
                    <w:rPr>
                      <w:rFonts w:hint="eastAsia" w:ascii="ＭＳ 明朝" w:hAnsi="ＭＳ 明朝" w:eastAsia="ＭＳ 明朝"/>
                    </w:rPr>
                    <w:t>令和８年度</w:t>
                  </w:r>
                </w:p>
              </w:tc>
              <w:tc>
                <w:tcPr>
                  <w:tcW w:w="1970" w:type="dxa"/>
                  <w:vAlign w:val="center"/>
                </w:tcPr>
                <w:p>
                  <w:pPr>
                    <w:pStyle w:val="0"/>
                    <w:suppressAutoHyphens w:val="1"/>
                    <w:jc w:val="center"/>
                    <w:textAlignment w:val="baseline"/>
                    <w:rPr>
                      <w:rFonts w:hint="eastAsia" w:ascii="ＭＳ 明朝" w:hAnsi="ＭＳ 明朝" w:eastAsia="ＭＳ 明朝"/>
                      <w:sz w:val="22"/>
                    </w:rPr>
                  </w:pPr>
                  <w:r>
                    <w:rPr>
                      <w:rFonts w:hint="eastAsia" w:ascii="ＭＳ 明朝" w:hAnsi="ＭＳ 明朝" w:eastAsia="ＭＳ 明朝"/>
                      <w:sz w:val="22"/>
                    </w:rPr>
                    <w:t>1,710</w:t>
                  </w:r>
                  <w:r>
                    <w:rPr>
                      <w:rFonts w:hint="eastAsia" w:ascii="ＭＳ 明朝" w:hAnsi="ＭＳ 明朝" w:eastAsia="ＭＳ 明朝"/>
                      <w:spacing w:val="10"/>
                      <w:kern w:val="0"/>
                      <w:sz w:val="22"/>
                    </w:rPr>
                    <w:t>時間</w:t>
                  </w:r>
                </w:p>
              </w:tc>
            </w:tr>
          </w:tbl>
          <w:p>
            <w:pPr>
              <w:pStyle w:val="0"/>
              <w:snapToGrid w:val="0"/>
              <w:spacing w:line="360" w:lineRule="auto"/>
              <w:ind w:left="621" w:leftChars="13" w:hanging="592" w:hangingChars="296"/>
              <w:jc w:val="left"/>
              <w:rPr>
                <w:rFonts w:hint="eastAsia" w:ascii="ＭＳ 明朝" w:hAnsi="ＭＳ 明朝" w:eastAsia="ＭＳ 明朝"/>
                <w:color w:val="auto"/>
                <w:spacing w:val="0"/>
                <w:w w:val="100"/>
                <w:sz w:val="20"/>
              </w:rPr>
            </w:pPr>
          </w:p>
        </w:tc>
        <w:tc>
          <w:tcPr>
            <w:tcW w:w="144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napToGrid w:val="0"/>
              <w:spacing w:line="360" w:lineRule="auto"/>
              <w:ind w:leftChars="0" w:hanging="4" w:hangingChars="2"/>
              <w:jc w:val="left"/>
              <w:rPr>
                <w:rFonts w:hint="eastAsia" w:ascii="ＭＳ 明朝" w:hAnsi="ＭＳ 明朝" w:eastAsia="ＭＳ 明朝"/>
                <w:color w:val="auto"/>
                <w:spacing w:val="0"/>
                <w:w w:val="100"/>
                <w:sz w:val="20"/>
              </w:rPr>
            </w:pPr>
            <w:r>
              <w:rPr>
                <w:rFonts w:hint="eastAsia" w:ascii="ＭＳ 明朝" w:hAnsi="ＭＳ 明朝" w:eastAsia="ＭＳ 明朝"/>
                <w:color w:val="auto"/>
                <w:spacing w:val="0"/>
                <w:w w:val="100"/>
                <w:sz w:val="20"/>
              </w:rPr>
              <w:t>次のとおりとする。</w:t>
            </w:r>
          </w:p>
          <w:p>
            <w:pPr>
              <w:pStyle w:val="0"/>
              <w:snapToGrid w:val="0"/>
              <w:spacing w:line="360" w:lineRule="auto"/>
              <w:ind w:leftChars="0" w:hanging="4" w:hangingChars="2"/>
              <w:jc w:val="left"/>
              <w:rPr>
                <w:rFonts w:hint="eastAsia" w:ascii="ＭＳ 明朝" w:hAnsi="ＭＳ 明朝" w:eastAsia="ＭＳ 明朝"/>
                <w:color w:val="auto"/>
                <w:spacing w:val="0"/>
                <w:w w:val="100"/>
                <w:sz w:val="20"/>
              </w:rPr>
            </w:pPr>
            <w:r>
              <w:rPr>
                <w:rFonts w:hint="eastAsia" w:ascii="ＭＳ 明朝" w:hAnsi="ＭＳ 明朝" w:eastAsia="ＭＳ 明朝"/>
                <w:color w:val="auto"/>
                <w:spacing w:val="0"/>
                <w:w w:val="100"/>
                <w:sz w:val="20"/>
              </w:rPr>
              <w:t>資産の形成に繫がると知事が認める事業</w:t>
            </w:r>
            <w:bookmarkStart w:id="0" w:name="_GoBack"/>
            <w:bookmarkEnd w:id="0"/>
            <w:r>
              <w:rPr>
                <w:rFonts w:hint="eastAsia" w:ascii="ＭＳ 明朝" w:hAnsi="ＭＳ 明朝" w:eastAsia="ＭＳ 明朝"/>
                <w:color w:val="auto"/>
                <w:spacing w:val="0"/>
                <w:w w:val="100"/>
                <w:sz w:val="20"/>
              </w:rPr>
              <w:t>　</w:t>
            </w:r>
            <w:r>
              <w:rPr>
                <w:rFonts w:hint="eastAsia" w:ascii="ＭＳ 明朝" w:hAnsi="ＭＳ 明朝" w:eastAsia="ＭＳ 明朝"/>
                <w:color w:val="auto"/>
                <w:spacing w:val="0"/>
                <w:w w:val="100"/>
                <w:sz w:val="20"/>
              </w:rPr>
              <w:t>9/10</w:t>
            </w:r>
          </w:p>
          <w:p>
            <w:pPr>
              <w:pStyle w:val="0"/>
              <w:spacing w:line="360" w:lineRule="auto"/>
              <w:ind w:leftChars="0" w:hanging="4" w:hangingChars="2"/>
              <w:jc w:val="left"/>
              <w:rPr>
                <w:rFonts w:hint="eastAsia" w:ascii="ＭＳ 明朝" w:hAnsi="ＭＳ 明朝" w:eastAsia="ＭＳ 明朝"/>
                <w:spacing w:val="0"/>
                <w:w w:val="100"/>
                <w:sz w:val="20"/>
              </w:rPr>
            </w:pPr>
            <w:r>
              <w:rPr>
                <w:rFonts w:hint="eastAsia" w:ascii="ＭＳ 明朝" w:hAnsi="ＭＳ 明朝" w:eastAsia="ＭＳ 明朝"/>
                <w:color w:val="auto"/>
                <w:spacing w:val="0"/>
                <w:w w:val="100"/>
                <w:sz w:val="20"/>
              </w:rPr>
              <w:t>その他の事業　</w:t>
            </w:r>
            <w:r>
              <w:rPr>
                <w:rFonts w:hint="eastAsia" w:ascii="ＭＳ 明朝" w:hAnsi="ＭＳ 明朝" w:eastAsia="ＭＳ 明朝"/>
                <w:color w:val="auto"/>
                <w:spacing w:val="0"/>
                <w:w w:val="100"/>
                <w:sz w:val="20"/>
              </w:rPr>
              <w:t>10/10</w:t>
            </w:r>
          </w:p>
        </w:tc>
        <w:tc>
          <w:tcPr>
            <w:tcW w:w="1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auto"/>
              <w:jc w:val="left"/>
              <w:rPr>
                <w:rFonts w:hint="eastAsia" w:ascii="ＭＳ 明朝" w:hAnsi="ＭＳ 明朝" w:eastAsia="ＭＳ 明朝"/>
                <w:spacing w:val="0"/>
                <w:w w:val="100"/>
                <w:sz w:val="20"/>
              </w:rPr>
            </w:pPr>
            <w:r>
              <w:rPr>
                <w:rFonts w:hint="eastAsia" w:ascii="ＭＳ 明朝" w:hAnsi="ＭＳ 明朝" w:eastAsia="ＭＳ 明朝"/>
                <w:spacing w:val="0"/>
                <w:w w:val="100"/>
                <w:sz w:val="20"/>
              </w:rPr>
              <w:t>補助対象経費の実支出額と補助基準額とを比較していずれか少ない額と、総事業費から当該事業に係る寄附金その他の収入額を控除した額とを比較していずれか少ない額に補助率を乗じて得た額（算出された額に</w:t>
            </w:r>
            <w:r>
              <w:rPr>
                <w:rFonts w:hint="eastAsia" w:ascii="ＭＳ 明朝" w:hAnsi="ＭＳ 明朝" w:eastAsia="ＭＳ 明朝"/>
                <w:spacing w:val="0"/>
                <w:w w:val="100"/>
                <w:sz w:val="20"/>
              </w:rPr>
              <w:t>1,000</w:t>
            </w:r>
            <w:r>
              <w:rPr>
                <w:rFonts w:hint="eastAsia" w:ascii="ＭＳ 明朝" w:hAnsi="ＭＳ 明朝" w:eastAsia="ＭＳ 明朝"/>
                <w:spacing w:val="0"/>
                <w:w w:val="100"/>
                <w:sz w:val="20"/>
              </w:rPr>
              <w:t>円未満の端数が生じた場合はこれを切り捨てた額）とする。</w:t>
            </w:r>
          </w:p>
        </w:tc>
      </w:tr>
    </w:tbl>
    <w:p>
      <w:pPr>
        <w:pStyle w:val="0"/>
        <w:wordWrap w:val="0"/>
        <w:spacing w:line="200" w:lineRule="atLeast"/>
        <w:ind w:left="2128" w:leftChars="0" w:right="1893" w:rightChars="0" w:hanging="2128" w:firstLineChars="0"/>
        <w:jc w:val="left"/>
        <w:rPr>
          <w:rFonts w:hint="eastAsia" w:ascii="ＭＳ 明朝" w:hAnsi="ＭＳ 明朝" w:eastAsia="ＭＳ 明朝"/>
          <w:spacing w:val="0"/>
          <w:w w:val="100"/>
          <w:sz w:val="20"/>
        </w:rPr>
      </w:pPr>
      <w:r>
        <w:rPr>
          <w:rFonts w:hint="eastAsia" w:ascii="ＭＳ 明朝" w:hAnsi="ＭＳ 明朝" w:eastAsia="ＭＳ 明朝"/>
          <w:spacing w:val="0"/>
          <w:w w:val="100"/>
          <w:sz w:val="20"/>
        </w:rPr>
        <w:t>別表</w:t>
      </w:r>
    </w:p>
    <w:p>
      <w:pPr>
        <w:pStyle w:val="0"/>
        <w:wordWrap w:val="0"/>
        <w:ind w:left="0" w:leftChars="0" w:firstLine="0" w:firstLineChars="0"/>
        <w:jc w:val="left"/>
        <w:rPr>
          <w:rFonts w:hint="eastAsia" w:ascii="ＭＳ 明朝" w:hAnsi="ＭＳ 明朝" w:eastAsia="ＭＳ 明朝"/>
          <w:spacing w:val="0"/>
          <w:w w:val="100"/>
          <w:sz w:val="20"/>
        </w:rPr>
      </w:pPr>
    </w:p>
    <w:sectPr>
      <w:endnotePr>
        <w:numStart w:val="0"/>
      </w:endnotePr>
      <w:pgSz w:w="11907" w:h="16840"/>
      <w:pgMar w:top="1225" w:right="1083" w:bottom="1418" w:left="1333" w:header="720" w:footer="720" w:gutter="0"/>
      <w:cols w:space="720"/>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太ゴB101">
    <w:panose1 w:val="00000000000000000000"/>
    <w:charset w:val="80"/>
    <w:family w:val="modern"/>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1"/>
  <w:displayHorizontalDrawingGridEvery w:val="0"/>
  <w:displayVerticalDrawingGridEvery w:val="2"/>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358" w:lineRule="atLeast"/>
      <w:jc w:val="both"/>
    </w:pPr>
    <w:rPr>
      <w:rFonts w:ascii="ＭＳ 明朝" w:hAnsi="ＭＳ 明朝"/>
      <w:spacing w:val="12"/>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200" w:lineRule="atLeast"/>
      <w:jc w:val="left"/>
    </w:pPr>
  </w:style>
  <w:style w:type="paragraph" w:styleId="16">
    <w:name w:val="header"/>
    <w:basedOn w:val="0"/>
    <w:next w:val="16"/>
    <w:link w:val="0"/>
    <w:uiPriority w:val="0"/>
    <w:pPr>
      <w:tabs>
        <w:tab w:val="center" w:leader="none" w:pos="4252"/>
        <w:tab w:val="right" w:leader="none" w:pos="8504"/>
      </w:tabs>
      <w:snapToGrid w:val="0"/>
      <w:spacing w:line="240" w:lineRule="auto"/>
    </w:pPr>
    <w:rPr>
      <w:rFonts w:ascii="Century" w:hAnsi="Century"/>
      <w:spacing w:val="0"/>
      <w:sz w:val="16"/>
    </w:r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spacing w:line="358"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TotalTime>
  <Pages>1</Pages>
  <Words>18</Words>
  <Characters>891</Characters>
  <Application>JUST Note</Application>
  <Lines>93</Lines>
  <Paragraphs>21</Paragraphs>
  <Company>静岡県</Company>
  <CharactersWithSpaces>900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病院内保育所運営費補助金交付要綱</dc:title>
  <dc:creator>堤　雅貴</dc:creator>
  <cp:lastModifiedBy>堤　雅貴</cp:lastModifiedBy>
  <cp:lastPrinted>2024-08-13T02:59:58Z</cp:lastPrinted>
  <dcterms:created xsi:type="dcterms:W3CDTF">2024-06-07T09:06:00Z</dcterms:created>
  <dcterms:modified xsi:type="dcterms:W3CDTF">2024-08-09T02:09:27Z</dcterms:modified>
  <cp:revision>0</cp:revision>
</cp:coreProperties>
</file>