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color w:val="auto"/>
          <w:highlight w:val="none"/>
        </w:rPr>
      </w:pPr>
      <w:bookmarkStart w:id="0" w:name="_Hlk164953822"/>
      <w:bookmarkEnd w:id="0"/>
    </w:p>
    <w:p>
      <w:pPr>
        <w:pStyle w:val="0"/>
        <w:jc w:val="right"/>
        <w:rPr>
          <w:rFonts w:hint="eastAsia" w:asciiTheme="minorEastAsia" w:hAnsiTheme="minorEastAsia" w:eastAsiaTheme="minorEastAsia"/>
          <w:color w:val="auto"/>
          <w:sz w:val="24"/>
          <w:highlight w:val="none"/>
          <w:u w:val="single" w:color="auto"/>
        </w:rPr>
      </w:pPr>
      <w:r>
        <w:rPr>
          <w:rFonts w:hint="eastAsia" w:asciiTheme="minorEastAsia" w:hAnsiTheme="minorEastAsia" w:eastAsiaTheme="minorEastAsia"/>
          <w:color w:val="auto"/>
          <w:sz w:val="24"/>
          <w:highlight w:val="none"/>
          <w:u w:val="single" w:color="auto"/>
        </w:rPr>
        <w:t>小規模医療機関向けＢＣＰのひな形</w:t>
      </w:r>
    </w:p>
    <w:p>
      <w:pPr>
        <w:pStyle w:val="0"/>
        <w:jc w:val="righ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（作成：一般社団法人静岡県医師会、静岡県）</w:t>
      </w: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bookmarkStart w:id="1" w:name="_GoBack"/>
      <w:bookmarkEnd w:id="1"/>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jc w:val="center"/>
        <w:rPr>
          <w:rFonts w:hint="eastAsia" w:asciiTheme="minorEastAsia" w:hAnsiTheme="minorEastAsia" w:eastAsiaTheme="minorEastAsia"/>
          <w:color w:val="auto"/>
          <w:sz w:val="40"/>
          <w:highlight w:val="none"/>
        </w:rPr>
      </w:pPr>
      <w:r>
        <w:rPr>
          <w:rFonts w:hint="eastAsia" w:asciiTheme="minorEastAsia" w:hAnsiTheme="minorEastAsia" w:eastAsiaTheme="minorEastAsia"/>
          <w:color w:val="auto"/>
          <w:sz w:val="40"/>
          <w:highlight w:val="none"/>
        </w:rPr>
        <w:t>医療情報システム部門</w:t>
      </w:r>
    </w:p>
    <w:p>
      <w:pPr>
        <w:pStyle w:val="0"/>
        <w:jc w:val="center"/>
        <w:rPr>
          <w:rFonts w:hint="eastAsia" w:asciiTheme="minorEastAsia" w:hAnsiTheme="minorEastAsia" w:eastAsiaTheme="minorEastAsia"/>
          <w:color w:val="auto"/>
          <w:sz w:val="40"/>
          <w:highlight w:val="none"/>
        </w:rPr>
      </w:pPr>
      <w:r>
        <w:rPr>
          <w:rFonts w:hint="eastAsia" w:asciiTheme="minorEastAsia" w:hAnsiTheme="minorEastAsia" w:eastAsiaTheme="minorEastAsia"/>
          <w:color w:val="auto"/>
          <w:sz w:val="40"/>
          <w:highlight w:val="none"/>
        </w:rPr>
        <w:t>事業継続計画（</w:t>
      </w:r>
      <w:r>
        <w:rPr>
          <w:rFonts w:hint="eastAsia" w:asciiTheme="minorEastAsia" w:hAnsiTheme="minorEastAsia" w:eastAsiaTheme="minorEastAsia"/>
          <w:color w:val="auto"/>
          <w:sz w:val="40"/>
          <w:highlight w:val="none"/>
        </w:rPr>
        <w:t>BCP</w:t>
      </w:r>
      <w:r>
        <w:rPr>
          <w:rFonts w:hint="eastAsia" w:asciiTheme="minorEastAsia" w:hAnsiTheme="minorEastAsia" w:eastAsiaTheme="minorEastAsia"/>
          <w:color w:val="auto"/>
          <w:sz w:val="40"/>
          <w:highlight w:val="none"/>
        </w:rPr>
        <w:t>）</w:t>
      </w: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jc w:val="left"/>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rPr>
          <w:rFonts w:hint="eastAsia" w:asciiTheme="minorEastAsia" w:hAnsiTheme="minorEastAsia" w:eastAsiaTheme="minorEastAsia"/>
          <w:color w:val="auto"/>
          <w:highlight w:val="none"/>
        </w:rPr>
      </w:pPr>
    </w:p>
    <w:p>
      <w:pPr>
        <w:pStyle w:val="0"/>
        <w:jc w:val="left"/>
        <w:rPr>
          <w:rFonts w:hint="eastAsia" w:asciiTheme="minorEastAsia" w:hAnsiTheme="minorEastAsia" w:eastAsiaTheme="minorEastAsia"/>
          <w:color w:val="auto"/>
          <w:highlight w:val="none"/>
        </w:rPr>
      </w:pPr>
    </w:p>
    <w:p>
      <w:pPr>
        <w:pStyle w:val="0"/>
        <w:jc w:val="center"/>
        <w:rPr>
          <w:rFonts w:hint="eastAsia" w:asciiTheme="minorEastAsia" w:hAnsiTheme="minorEastAsia" w:eastAsiaTheme="minorEastAsia"/>
          <w:color w:val="auto"/>
          <w:sz w:val="36"/>
          <w:highlight w:val="none"/>
        </w:rPr>
      </w:pPr>
      <w:r>
        <w:rPr>
          <w:rFonts w:hint="eastAsia" w:asciiTheme="minorEastAsia" w:hAnsiTheme="minorEastAsia" w:eastAsiaTheme="minorEastAsia"/>
          <w:color w:val="auto"/>
          <w:sz w:val="36"/>
          <w:highlight w:val="none"/>
        </w:rPr>
        <w:t>○○年○○月○○日</w:t>
      </w:r>
    </w:p>
    <w:p>
      <w:pPr>
        <w:pStyle w:val="0"/>
        <w:jc w:val="center"/>
        <w:rPr>
          <w:rFonts w:hint="eastAsia" w:asciiTheme="minorEastAsia" w:hAnsiTheme="minorEastAsia" w:eastAsiaTheme="minorEastAsia"/>
          <w:color w:val="auto"/>
          <w:sz w:val="36"/>
          <w:highlight w:val="none"/>
        </w:rPr>
      </w:pPr>
      <w:r>
        <w:rPr>
          <w:rFonts w:hint="eastAsia" w:asciiTheme="minorEastAsia" w:hAnsiTheme="minorEastAsia" w:eastAsiaTheme="minorEastAsia"/>
          <w:color w:val="auto"/>
          <w:sz w:val="36"/>
          <w:highlight w:val="none"/>
        </w:rPr>
        <w:t>（医療機関名）</w:t>
      </w:r>
    </w:p>
    <w:p>
      <w:pPr>
        <w:pStyle w:val="0"/>
        <w:widowControl w:val="1"/>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bookmarkStart w:id="2" w:name="_Hlk164937331"/>
    </w:p>
    <w:p>
      <w:pPr>
        <w:pStyle w:val="0"/>
        <w:widowControl w:val="1"/>
        <w:jc w:val="center"/>
        <w:rPr>
          <w:rFonts w:hint="eastAsia" w:asciiTheme="minorEastAsia" w:hAnsiTheme="minorEastAsia" w:eastAsiaTheme="minorEastAsia"/>
          <w:color w:val="auto"/>
          <w:highlight w:val="none"/>
        </w:rPr>
      </w:pPr>
    </w:p>
    <w:p>
      <w:pPr>
        <w:pStyle w:val="0"/>
        <w:widowControl w:val="1"/>
        <w:jc w:val="center"/>
        <w:rPr>
          <w:rFonts w:hint="eastAsia" w:asciiTheme="minorEastAsia" w:hAnsiTheme="minorEastAsia" w:eastAsiaTheme="minorEastAsia"/>
          <w:color w:val="auto"/>
          <w:highlight w:val="none"/>
        </w:rPr>
      </w:pPr>
    </w:p>
    <w:p>
      <w:pPr>
        <w:pStyle w:val="0"/>
        <w:widowControl w:val="1"/>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目　　次</w:t>
      </w:r>
    </w:p>
    <w:p>
      <w:pPr>
        <w:pStyle w:val="0"/>
        <w:widowControl w:val="1"/>
        <w:jc w:val="center"/>
        <w:rPr>
          <w:rFonts w:hint="eastAsia" w:asciiTheme="minorEastAsia" w:hAnsiTheme="minorEastAsia" w:eastAsiaTheme="minorEastAsia"/>
          <w:color w:val="auto"/>
          <w:highlight w:val="none"/>
        </w:rPr>
      </w:pPr>
    </w:p>
    <w:p>
      <w:pPr>
        <w:pStyle w:val="1"/>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総則</w:t>
      </w:r>
    </w:p>
    <w:p>
      <w:pPr>
        <w:pStyle w:val="26"/>
        <w:ind w:leftChars="0" w:hanging="840" w:hangingChars="4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１　策定目的</w:t>
      </w:r>
    </w:p>
    <w:p>
      <w:pPr>
        <w:pStyle w:val="26"/>
        <w:ind w:leftChars="0" w:hanging="840" w:hangingChars="4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２　基本方針</w:t>
      </w:r>
    </w:p>
    <w:p>
      <w:pPr>
        <w:pStyle w:val="26"/>
        <w:ind w:leftChars="0" w:hanging="840" w:hangingChars="4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３　対象範囲</w:t>
      </w:r>
    </w:p>
    <w:p>
      <w:pPr>
        <w:pStyle w:val="26"/>
        <w:ind w:leftChars="0" w:hanging="840" w:hangingChars="4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４　想定する事象</w:t>
      </w:r>
    </w:p>
    <w:p>
      <w:pPr>
        <w:pStyle w:val="26"/>
        <w:ind w:leftChars="0" w:hanging="840" w:hangingChars="4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５　</w:t>
      </w:r>
      <w:r>
        <w:rPr>
          <w:rFonts w:hint="eastAsia" w:asciiTheme="minorEastAsia" w:hAnsiTheme="minorEastAsia" w:eastAsiaTheme="minorEastAsia"/>
          <w:b w:val="0"/>
          <w:color w:val="auto"/>
        </w:rPr>
        <w:t>文書の管理および周知</w:t>
      </w:r>
    </w:p>
    <w:p>
      <w:pPr>
        <w:pStyle w:val="1"/>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体制整備</w:t>
      </w:r>
    </w:p>
    <w:p>
      <w:pPr>
        <w:pStyle w:val="26"/>
        <w:numPr>
          <w:numId w:val="0"/>
        </w:numPr>
        <w:ind w:left="840" w:leftChars="0" w:hanging="84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１　医療情報システム安全管理責任者</w:t>
      </w:r>
    </w:p>
    <w:p>
      <w:pPr>
        <w:pStyle w:val="26"/>
        <w:numPr>
          <w:numId w:val="0"/>
        </w:numPr>
        <w:ind w:left="840" w:leftChars="0" w:hanging="84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２　情報機器台帳</w:t>
      </w:r>
    </w:p>
    <w:p>
      <w:pPr>
        <w:pStyle w:val="26"/>
        <w:numPr>
          <w:numId w:val="0"/>
        </w:numPr>
        <w:ind w:left="840" w:leftChars="0" w:hanging="84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３　代替運用</w:t>
      </w:r>
    </w:p>
    <w:p>
      <w:pPr>
        <w:pStyle w:val="26"/>
        <w:numPr>
          <w:numId w:val="0"/>
        </w:numPr>
        <w:ind w:left="840" w:leftChars="0" w:hanging="84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４　バックアップ体制</w:t>
      </w:r>
    </w:p>
    <w:p>
      <w:pPr>
        <w:pStyle w:val="26"/>
        <w:numPr>
          <w:numId w:val="0"/>
        </w:numPr>
        <w:ind w:left="840" w:leftChars="0" w:hanging="840" w:firstLineChars="0"/>
        <w:rPr>
          <w:rFonts w:hint="eastAsia" w:asciiTheme="minorEastAsia" w:hAnsiTheme="minorEastAsia" w:eastAsiaTheme="minorEastAsia"/>
          <w:color w:val="auto"/>
          <w:highlight w:val="none"/>
        </w:rPr>
      </w:pPr>
    </w:p>
    <w:p>
      <w:pPr>
        <w:pStyle w:val="1"/>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サイバーインシデント発生時の対応</w:t>
      </w:r>
    </w:p>
    <w:p>
      <w:pPr>
        <w:pStyle w:val="26"/>
        <w:numPr>
          <w:numId w:val="0"/>
        </w:numPr>
        <w:ind w:left="0" w:leftChars="0" w:firstLineChars="0"/>
        <w:rPr>
          <w:rFonts w:hint="eastAsia" w:asciiTheme="minorEastAsia" w:hAnsiTheme="minorEastAsia" w:eastAsiaTheme="minorEastAsia"/>
          <w:color w:val="auto"/>
          <w:highlight w:val="none"/>
        </w:rPr>
      </w:pPr>
      <w:r>
        <w:rPr>
          <w:rFonts w:hint="eastAsia" w:asciiTheme="minorEastAsia" w:hAnsiTheme="minorEastAsia" w:eastAsiaTheme="minorEastAsia"/>
          <w:b w:val="0"/>
          <w:color w:val="auto"/>
        </w:rPr>
        <w:t>１　初動対応</w:t>
      </w:r>
    </w:p>
    <w:p>
      <w:pPr>
        <w:pStyle w:val="26"/>
        <w:numPr>
          <w:numId w:val="0"/>
        </w:numPr>
        <w:ind w:left="0" w:leftChars="0" w:firstLineChars="0"/>
        <w:rPr>
          <w:rFonts w:hint="eastAsia" w:asciiTheme="minorEastAsia" w:hAnsiTheme="minorEastAsia" w:eastAsiaTheme="minorEastAsia"/>
          <w:color w:val="auto"/>
          <w:highlight w:val="none"/>
        </w:rPr>
      </w:pPr>
      <w:r>
        <w:rPr>
          <w:rFonts w:hint="eastAsia" w:asciiTheme="minorEastAsia" w:hAnsiTheme="minorEastAsia" w:eastAsiaTheme="minorEastAsia"/>
          <w:b w:val="0"/>
          <w:color w:val="auto"/>
        </w:rPr>
        <w:t>２　業務継続対応</w:t>
      </w:r>
    </w:p>
    <w:p>
      <w:pPr>
        <w:pStyle w:val="0"/>
        <w:widowControl w:val="1"/>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br w:type="page"/>
      </w:r>
    </w:p>
    <w:p>
      <w:pPr>
        <w:pStyle w:val="1"/>
        <w:numPr>
          <w:ilvl w:val="0"/>
          <w:numId w:val="2"/>
        </w:numPr>
        <w:rPr>
          <w:rFonts w:hint="eastAsia" w:asciiTheme="minorEastAsia" w:hAnsiTheme="minorEastAsia" w:eastAsiaTheme="minorEastAsia"/>
          <w:color w:val="auto"/>
          <w:highlight w:val="none"/>
        </w:rPr>
      </w:pPr>
      <w:bookmarkEnd w:id="2"/>
      <w:r>
        <w:rPr>
          <w:rFonts w:hint="eastAsia" w:asciiTheme="minorEastAsia" w:hAnsiTheme="minorEastAsia" w:eastAsiaTheme="minorEastAsia"/>
          <w:color w:val="auto"/>
          <w:highlight w:val="none"/>
        </w:rPr>
        <w:t>総則</w:t>
      </w:r>
    </w:p>
    <w:p>
      <w:pPr>
        <w:pStyle w:val="26"/>
        <w:numPr>
          <w:numId w:val="0"/>
        </w:numPr>
        <w:ind w:left="0" w:leftChars="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１　策定目的</w:t>
      </w:r>
    </w:p>
    <w:p>
      <w:pPr>
        <w:pStyle w:val="26"/>
        <w:ind w:left="142" w:leftChars="0" w:firstLine="141" w:firstLineChars="67"/>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本事業継続計画（以下、本</w:t>
      </w:r>
      <w:r>
        <w:rPr>
          <w:rFonts w:hint="eastAsia" w:asciiTheme="minorEastAsia" w:hAnsiTheme="minorEastAsia" w:eastAsiaTheme="minorEastAsia"/>
          <w:color w:val="auto"/>
          <w:highlight w:val="none"/>
        </w:rPr>
        <w:t>BCP</w:t>
      </w:r>
      <w:r>
        <w:rPr>
          <w:rFonts w:hint="eastAsia" w:asciiTheme="minorEastAsia" w:hAnsiTheme="minorEastAsia" w:eastAsiaTheme="minorEastAsia"/>
          <w:color w:val="auto"/>
          <w:highlight w:val="none"/>
        </w:rPr>
        <w:t>という）は、医療機関名（以下、当院という）においてサイバーインシデント発生時における組織的対応の基本方針及び職員の取るべき行動の基本原則を示すことによって、</w:t>
      </w:r>
      <w:r>
        <w:rPr>
          <w:rFonts w:hint="eastAsia" w:asciiTheme="minorEastAsia" w:hAnsiTheme="minorEastAsia" w:eastAsiaTheme="minorEastAsia"/>
          <w:color w:val="auto"/>
        </w:rPr>
        <w:t>サイバー攻撃に対応する体制の速やかな構築と、組織としての適切な対応の実施に資することを目的とする。</w:t>
      </w:r>
    </w:p>
    <w:p>
      <w:pPr>
        <w:pStyle w:val="0"/>
        <w:rPr>
          <w:rFonts w:hint="eastAsia" w:asciiTheme="minorEastAsia" w:hAnsiTheme="minorEastAsia" w:eastAsiaTheme="minorEastAsia"/>
          <w:color w:val="auto"/>
          <w:highlight w:val="none"/>
        </w:rPr>
      </w:pPr>
    </w:p>
    <w:p>
      <w:pPr>
        <w:pStyle w:val="26"/>
        <w:numPr>
          <w:numId w:val="0"/>
        </w:numPr>
        <w:ind w:left="0" w:leftChars="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２　基本方針</w:t>
      </w:r>
    </w:p>
    <w:p>
      <w:pPr>
        <w:pStyle w:val="0"/>
        <w:ind w:left="210" w:leftChars="100" w:firstLine="210" w:firstLineChars="100"/>
        <w:rPr>
          <w:rFonts w:hint="eastAsia" w:asciiTheme="minorEastAsia" w:hAnsiTheme="minorEastAsia" w:eastAsiaTheme="minorEastAsia"/>
          <w:color w:val="auto"/>
        </w:rPr>
      </w:pPr>
      <w:r>
        <w:rPr>
          <w:rFonts w:hint="default" w:asciiTheme="minorEastAsia" w:hAnsiTheme="minorEastAsia"/>
          <w:color w:val="000000" w:themeColor="text1"/>
        </w:rPr>
        <w:t>当院は、個人情報の保護と医療サービスの継続性を確保するために、以下の方針に基づき、サイバーセキュリティ対策の水準を高めていく。</w:t>
      </w:r>
    </w:p>
    <w:p>
      <w:pPr>
        <w:pStyle w:val="26"/>
        <w:numPr>
          <w:numId w:val="0"/>
        </w:numPr>
        <w:ind w:left="0" w:leftChars="0" w:firstLine="210" w:firstLineChars="100"/>
        <w:rPr>
          <w:rFonts w:hint="eastAsia" w:asciiTheme="minorEastAsia" w:hAnsiTheme="minorEastAsia" w:eastAsiaTheme="minorEastAsia"/>
          <w:color w:val="000000"/>
          <w:highlight w:val="none"/>
        </w:rPr>
      </w:pPr>
      <w:r>
        <w:rPr>
          <w:rFonts w:hint="eastAsia" w:asciiTheme="minorEastAsia" w:hAnsiTheme="minorEastAsia" w:eastAsiaTheme="minorEastAsia"/>
          <w:color w:val="auto"/>
        </w:rPr>
        <w:t>（１）サイバー攻撃による被害を極小化し、速やかな現状復帰</w:t>
      </w:r>
      <w:r>
        <w:rPr>
          <w:rFonts w:hint="eastAsia" w:asciiTheme="minorEastAsia" w:hAnsiTheme="minorEastAsia" w:eastAsiaTheme="minorEastAsia"/>
          <w:color w:val="000000"/>
        </w:rPr>
        <w:t>を目指す。</w:t>
      </w:r>
    </w:p>
    <w:p>
      <w:pPr>
        <w:pStyle w:val="26"/>
        <w:numPr>
          <w:numId w:val="0"/>
        </w:numPr>
        <w:ind w:left="840" w:leftChars="100" w:hanging="630" w:hangingChars="300"/>
        <w:rPr>
          <w:rFonts w:hint="eastAsia" w:asciiTheme="minorEastAsia" w:hAnsiTheme="minorEastAsia" w:eastAsiaTheme="minorEastAsia"/>
          <w:color w:val="auto"/>
          <w:highlight w:val="none"/>
        </w:rPr>
      </w:pPr>
      <w:r>
        <w:rPr>
          <w:rFonts w:hint="eastAsia" w:asciiTheme="minorEastAsia" w:hAnsiTheme="minorEastAsia" w:eastAsiaTheme="minorEastAsia"/>
          <w:color w:val="000000"/>
        </w:rPr>
        <w:t>（２）患者の信頼と業務継続性の確保のため、院内の即応体</w:t>
      </w:r>
      <w:r>
        <w:rPr>
          <w:rFonts w:hint="eastAsia" w:asciiTheme="minorEastAsia" w:hAnsiTheme="minorEastAsia" w:eastAsiaTheme="minorEastAsia"/>
          <w:color w:val="auto"/>
        </w:rPr>
        <w:t>制を整備し、実際の被害状況に応じて柔軟な対応を行う。</w:t>
      </w:r>
    </w:p>
    <w:p>
      <w:pPr>
        <w:pStyle w:val="26"/>
        <w:ind w:left="709" w:leftChars="0"/>
        <w:rPr>
          <w:rFonts w:hint="eastAsia" w:asciiTheme="minorEastAsia" w:hAnsiTheme="minorEastAsia" w:eastAsiaTheme="minorEastAsia"/>
          <w:color w:val="auto"/>
          <w:highlight w:val="none"/>
        </w:rPr>
      </w:pPr>
    </w:p>
    <w:p>
      <w:pPr>
        <w:pStyle w:val="26"/>
        <w:numPr>
          <w:numId w:val="0"/>
        </w:numPr>
        <w:ind w:left="0" w:leftChars="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３　対象範囲</w:t>
      </w:r>
    </w:p>
    <w:p>
      <w:pPr>
        <w:pStyle w:val="26"/>
        <w:ind w:left="141" w:leftChars="67" w:firstLine="353" w:firstLineChars="168"/>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対象とする医療情報システムは以下の通り。</w:t>
      </w:r>
    </w:p>
    <w:p>
      <w:pPr>
        <w:pStyle w:val="26"/>
        <w:numPr>
          <w:numId w:val="0"/>
        </w:numPr>
        <w:ind w:left="1134" w:leftChars="0" w:hanging="594"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①電子カルテシステム　</w:t>
      </w:r>
    </w:p>
    <w:p>
      <w:pPr>
        <w:pStyle w:val="26"/>
        <w:numPr>
          <w:numId w:val="0"/>
        </w:numPr>
        <w:ind w:left="1134" w:leftChars="0" w:hanging="594"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②医事会計システム（レセプト）</w:t>
      </w:r>
    </w:p>
    <w:p>
      <w:pPr>
        <w:pStyle w:val="26"/>
        <w:numPr>
          <w:numId w:val="0"/>
        </w:numPr>
        <w:ind w:left="1134" w:leftChars="0" w:hanging="594"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③医用画像システム</w:t>
      </w:r>
    </w:p>
    <w:p>
      <w:pPr>
        <w:pStyle w:val="26"/>
        <w:numPr>
          <w:numId w:val="0"/>
        </w:numPr>
        <w:ind w:left="1134" w:leftChars="0" w:hanging="594"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④各種部門システム（検査、処方など）</w:t>
      </w:r>
    </w:p>
    <w:p>
      <w:pPr>
        <w:pStyle w:val="26"/>
        <w:numPr>
          <w:numId w:val="0"/>
        </w:numPr>
        <w:ind w:left="1134" w:leftChars="0" w:hanging="594"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⑤オーダリングシステム</w:t>
      </w:r>
    </w:p>
    <w:p>
      <w:pPr>
        <w:pStyle w:val="26"/>
        <w:numPr>
          <w:numId w:val="0"/>
        </w:numPr>
        <w:ind w:left="1134" w:leftChars="0" w:hanging="594"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⑥〇〇〇〇</w:t>
      </w:r>
    </w:p>
    <w:p>
      <w:pPr>
        <w:pStyle w:val="0"/>
        <w:widowControl w:val="1"/>
        <w:jc w:val="left"/>
        <w:rPr>
          <w:rFonts w:hint="eastAsia" w:asciiTheme="minorEastAsia" w:hAnsiTheme="minorEastAsia" w:eastAsiaTheme="minorEastAsia"/>
          <w:color w:val="auto"/>
          <w:highlight w:val="none"/>
        </w:rPr>
      </w:pPr>
    </w:p>
    <w:p>
      <w:pPr>
        <w:pStyle w:val="26"/>
        <w:numPr>
          <w:numId w:val="0"/>
        </w:numPr>
        <w:ind w:left="0" w:leftChars="0"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４　想定する事象</w:t>
      </w:r>
    </w:p>
    <w:p>
      <w:pPr>
        <w:pStyle w:val="0"/>
        <w:ind w:left="210" w:leftChars="100" w:firstLine="214" w:firstLineChars="102"/>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本ＢＣＰで想定する事象とは、以下のサイバー攻撃による医療情報システムの利用停止、または医療情報の漏えいまたはそのおそれとする。</w:t>
      </w:r>
    </w:p>
    <w:p>
      <w:pPr>
        <w:pStyle w:val="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①標的型メール攻撃</w:t>
      </w:r>
    </w:p>
    <w:p>
      <w:pPr>
        <w:pStyle w:val="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②不正アクセス等</w:t>
      </w:r>
    </w:p>
    <w:p>
      <w:pPr>
        <w:pStyle w:val="0"/>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③マルウェア感染（ランサムウェアを含む）</w:t>
      </w:r>
    </w:p>
    <w:p>
      <w:pPr>
        <w:pStyle w:val="26"/>
        <w:ind w:left="0" w:leftChars="0"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④上記の予兆と思われる事象</w:t>
      </w:r>
    </w:p>
    <w:p>
      <w:pPr>
        <w:pStyle w:val="26"/>
        <w:ind w:left="0" w:leftChars="0" w:firstLine="420" w:firstLineChars="200"/>
        <w:rPr>
          <w:rFonts w:hint="eastAsia" w:asciiTheme="minorEastAsia" w:hAnsiTheme="minorEastAsia" w:eastAsiaTheme="minorEastAsia"/>
          <w:color w:val="auto"/>
          <w:highlight w:val="none"/>
        </w:rPr>
      </w:pPr>
    </w:p>
    <w:p>
      <w:pPr>
        <w:pStyle w:val="39"/>
        <w:numPr>
          <w:numId w:val="0"/>
        </w:numPr>
        <w:ind w:left="0" w:leftChars="0" w:firstLineChars="0"/>
        <w:rPr>
          <w:rFonts w:hint="eastAsia" w:asciiTheme="minorEastAsia" w:hAnsiTheme="minorEastAsia" w:eastAsiaTheme="minorEastAsia"/>
          <w:color w:val="auto"/>
        </w:rPr>
      </w:pPr>
      <w:r>
        <w:rPr>
          <w:rFonts w:hint="eastAsia" w:asciiTheme="minorEastAsia" w:hAnsiTheme="minorEastAsia" w:eastAsiaTheme="minorEastAsia"/>
          <w:b w:val="0"/>
          <w:color w:val="auto"/>
        </w:rPr>
        <w:t>５　文書の管理および周知</w:t>
      </w:r>
    </w:p>
    <w:p>
      <w:pPr>
        <w:pStyle w:val="0"/>
        <w:widowControl w:val="1"/>
        <w:ind w:left="210" w:leftChars="100" w:firstLine="210" w:firstLineChars="1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rPr>
        <w:t>本ＢＣＰは、〇〇部門にて現状を適切に反映した原本及び関連資料の整備を行い、当院の全職員に開示周知する。</w:t>
      </w:r>
      <w:bookmarkStart w:id="3" w:name="_Toc153875874"/>
      <w:bookmarkEnd w:id="3"/>
    </w:p>
    <w:p>
      <w:pPr>
        <w:pStyle w:val="0"/>
        <w:widowControl w:val="1"/>
        <w:ind w:left="210" w:leftChars="100" w:firstLine="210" w:firstLineChars="100"/>
        <w:jc w:val="left"/>
        <w:rPr>
          <w:rFonts w:hint="eastAsia" w:asciiTheme="minorEastAsia" w:hAnsiTheme="minorEastAsia" w:eastAsiaTheme="minorEastAsia"/>
          <w:color w:val="auto"/>
          <w:highlight w:val="none"/>
        </w:rPr>
      </w:pPr>
    </w:p>
    <w:p>
      <w:pPr>
        <w:pStyle w:val="0"/>
        <w:widowControl w:val="1"/>
        <w:ind w:left="210" w:leftChars="100" w:firstLine="210" w:firstLineChars="100"/>
        <w:jc w:val="left"/>
        <w:rPr>
          <w:rFonts w:hint="eastAsia" w:asciiTheme="minorEastAsia" w:hAnsiTheme="minorEastAsia" w:eastAsiaTheme="minorEastAsia"/>
          <w:color w:val="auto"/>
          <w:highlight w:val="none"/>
        </w:rPr>
      </w:pPr>
    </w:p>
    <w:p>
      <w:pPr>
        <w:pStyle w:val="0"/>
        <w:widowControl w:val="1"/>
        <w:ind w:left="210" w:leftChars="100" w:firstLine="210" w:firstLineChars="100"/>
        <w:jc w:val="left"/>
        <w:rPr>
          <w:rFonts w:hint="eastAsia" w:asciiTheme="minorEastAsia" w:hAnsiTheme="minorEastAsia" w:eastAsiaTheme="minorEastAsia"/>
          <w:color w:val="auto"/>
          <w:highlight w:val="none"/>
        </w:rPr>
      </w:pPr>
    </w:p>
    <w:p>
      <w:pPr>
        <w:pStyle w:val="0"/>
        <w:widowControl w:val="1"/>
        <w:ind w:left="210" w:leftChars="100" w:firstLine="210" w:firstLineChars="100"/>
        <w:jc w:val="left"/>
        <w:rPr>
          <w:rFonts w:hint="eastAsia" w:asciiTheme="minorEastAsia" w:hAnsiTheme="minorEastAsia" w:eastAsiaTheme="minorEastAsia"/>
          <w:color w:val="auto"/>
          <w:highlight w:val="none"/>
        </w:rPr>
      </w:pPr>
    </w:p>
    <w:p>
      <w:pPr>
        <w:pStyle w:val="0"/>
        <w:widowControl w:val="1"/>
        <w:ind w:left="210" w:leftChars="100" w:firstLine="210" w:firstLineChars="100"/>
        <w:jc w:val="left"/>
        <w:rPr>
          <w:rFonts w:hint="eastAsia" w:asciiTheme="minorEastAsia" w:hAnsiTheme="minorEastAsia" w:eastAsiaTheme="minorEastAsia"/>
          <w:color w:val="auto"/>
          <w:highlight w:val="none"/>
        </w:rPr>
      </w:pPr>
    </w:p>
    <w:p>
      <w:pPr>
        <w:pStyle w:val="1"/>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体制整備</w:t>
      </w:r>
    </w:p>
    <w:p>
      <w:pPr>
        <w:pStyle w:val="26"/>
        <w:ind w:left="143" w:leftChars="68" w:firstLine="214" w:firstLineChars="102"/>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平時において、非常時に備えたサイバーセキュリティの体制整備を以下のとおり行う。</w:t>
      </w:r>
    </w:p>
    <w:p>
      <w:pPr>
        <w:pStyle w:val="26"/>
        <w:ind w:left="142" w:leftChars="0" w:firstLine="351" w:firstLineChars="167"/>
        <w:rPr>
          <w:rFonts w:hint="eastAsia" w:asciiTheme="minorEastAsia" w:hAnsiTheme="minorEastAsia" w:eastAsiaTheme="minorEastAsia"/>
          <w:color w:val="auto"/>
          <w:highlight w:val="none"/>
        </w:rPr>
      </w:pPr>
    </w:p>
    <w:p>
      <w:pPr>
        <w:pStyle w:val="26"/>
        <w:numPr>
          <w:numId w:val="0"/>
        </w:numPr>
        <w:ind w:leftChars="0" w:hanging="840" w:hangingChars="4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１　医療情報システム安全管理責任者</w:t>
      </w:r>
    </w:p>
    <w:p>
      <w:pPr>
        <w:pStyle w:val="0"/>
        <w:ind w:left="494" w:leftChars="235" w:firstLine="143" w:firstLineChars="68"/>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○○（院長）を当院における医療情報システム安全管理責任者とし、サイバーセキュリティの連絡体制図及び外部関係機関の連絡先を</w:t>
      </w:r>
      <w:r>
        <w:rPr>
          <w:rFonts w:hint="eastAsia" w:asciiTheme="minorEastAsia" w:hAnsiTheme="minorEastAsia" w:eastAsiaTheme="minorEastAsia"/>
          <w:color w:val="auto"/>
          <w:highlight w:val="none"/>
          <w:u w:val="single" w:color="auto"/>
        </w:rPr>
        <w:t>別紙１</w:t>
      </w:r>
      <w:r>
        <w:rPr>
          <w:rFonts w:hint="eastAsia" w:asciiTheme="minorEastAsia" w:hAnsiTheme="minorEastAsia" w:eastAsiaTheme="minorEastAsia"/>
          <w:color w:val="auto"/>
          <w:highlight w:val="none"/>
        </w:rPr>
        <w:t>のとおり定める。</w:t>
      </w:r>
    </w:p>
    <w:p>
      <w:pPr>
        <w:pStyle w:val="0"/>
        <w:ind w:left="284" w:leftChars="135" w:firstLine="76" w:firstLineChars="36"/>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【別紙１・連絡体制図参照】</w:t>
      </w:r>
    </w:p>
    <w:p>
      <w:pPr>
        <w:pStyle w:val="0"/>
        <w:ind w:left="0" w:leftChars="0" w:firstLine="0" w:firstLineChars="0"/>
        <w:rPr>
          <w:rFonts w:hint="eastAsia" w:asciiTheme="minorEastAsia" w:hAnsiTheme="minorEastAsia" w:eastAsiaTheme="minorEastAsia"/>
          <w:color w:val="auto"/>
          <w:highlight w:val="none"/>
        </w:rPr>
      </w:pPr>
    </w:p>
    <w:p>
      <w:pPr>
        <w:pStyle w:val="26"/>
        <w:numPr>
          <w:numId w:val="0"/>
        </w:numPr>
        <w:ind w:left="851" w:leftChars="0" w:hanging="851"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２　情報機器台帳</w:t>
      </w:r>
    </w:p>
    <w:p>
      <w:pPr>
        <w:pStyle w:val="26"/>
        <w:ind w:left="389" w:leftChars="185" w:firstLine="210" w:firstLineChars="1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医療情報システム安全管理責任者は、情報機器の現況を反映した管理台帳を</w:t>
      </w:r>
      <w:r>
        <w:rPr>
          <w:rFonts w:hint="eastAsia" w:asciiTheme="minorEastAsia" w:hAnsiTheme="minorEastAsia" w:eastAsiaTheme="minorEastAsia"/>
          <w:color w:val="auto"/>
          <w:highlight w:val="none"/>
          <w:u w:val="single" w:color="auto"/>
        </w:rPr>
        <w:t>別紙２</w:t>
      </w:r>
      <w:r>
        <w:rPr>
          <w:rFonts w:hint="eastAsia" w:asciiTheme="minorEastAsia" w:hAnsiTheme="minorEastAsia" w:eastAsiaTheme="minorEastAsia"/>
          <w:color w:val="auto"/>
          <w:highlight w:val="none"/>
        </w:rPr>
        <w:t>のとおり整備する。併せて、定期的に棚卸しを行い、機器の所在と稼働状況の確認を行う。</w:t>
      </w:r>
    </w:p>
    <w:p>
      <w:pPr>
        <w:pStyle w:val="26"/>
        <w:numPr>
          <w:numId w:val="0"/>
        </w:numPr>
        <w:ind w:left="851" w:leftChars="0" w:hanging="491"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【別紙２・情報機器台帳参照】</w:t>
      </w:r>
    </w:p>
    <w:p>
      <w:pPr>
        <w:pStyle w:val="26"/>
        <w:ind w:left="851" w:leftChars="0"/>
        <w:rPr>
          <w:rFonts w:hint="eastAsia" w:asciiTheme="minorEastAsia" w:hAnsiTheme="minorEastAsia" w:eastAsiaTheme="minorEastAsia"/>
          <w:color w:val="auto"/>
          <w:highlight w:val="none"/>
        </w:rPr>
      </w:pPr>
    </w:p>
    <w:p>
      <w:pPr>
        <w:pStyle w:val="26"/>
        <w:numPr>
          <w:numId w:val="0"/>
        </w:numPr>
        <w:ind w:left="851" w:leftChars="0" w:hanging="851"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３　代替運用</w:t>
      </w:r>
    </w:p>
    <w:p>
      <w:pPr>
        <w:pStyle w:val="26"/>
        <w:ind w:left="284" w:leftChars="135" w:right="-315" w:rightChars="-150" w:firstLine="254" w:firstLineChars="121"/>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各システムが利用できなくなった場合、その業務内容の代替手段を以下のとおり定める。</w:t>
      </w:r>
    </w:p>
    <w:tbl>
      <w:tblPr>
        <w:tblStyle w:val="41"/>
        <w:tblpPr w:leftFromText="142" w:rightFromText="142" w:topFromText="0" w:bottomFromText="0" w:vertAnchor="text" w:horzAnchor="margin" w:tblpX="439" w:tblpY="412"/>
        <w:tblW w:w="8337" w:type="dxa"/>
        <w:tblLayout w:type="fixed"/>
        <w:tblLook w:firstRow="1" w:lastRow="0" w:firstColumn="1" w:lastColumn="0" w:noHBand="0" w:noVBand="1" w:val="04A0"/>
      </w:tblPr>
      <w:tblGrid>
        <w:gridCol w:w="1696"/>
        <w:gridCol w:w="2410"/>
        <w:gridCol w:w="4231"/>
      </w:tblGrid>
      <w:tr>
        <w:trPr>
          <w:trHeight w:val="364" w:hRule="atLeast"/>
        </w:trPr>
        <w:tc>
          <w:tcPr>
            <w:tcW w:w="1696" w:type="dxa"/>
            <w:shd w:val="clear" w:color="auto" w:fill="0070C0"/>
            <w:vAlign w:val="top"/>
          </w:tcPr>
          <w:p>
            <w:pPr>
              <w:pStyle w:val="0"/>
              <w:jc w:val="center"/>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業務内容</w:t>
            </w:r>
          </w:p>
        </w:tc>
        <w:tc>
          <w:tcPr>
            <w:tcW w:w="2410" w:type="dxa"/>
            <w:shd w:val="clear" w:color="auto" w:fill="0070C0"/>
            <w:vAlign w:val="top"/>
          </w:tcPr>
          <w:p>
            <w:pPr>
              <w:pStyle w:val="0"/>
              <w:jc w:val="center"/>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システム</w:t>
            </w:r>
          </w:p>
        </w:tc>
        <w:tc>
          <w:tcPr>
            <w:tcW w:w="4231" w:type="dxa"/>
            <w:shd w:val="clear" w:color="auto" w:fill="0070C0"/>
            <w:vAlign w:val="top"/>
          </w:tcPr>
          <w:p>
            <w:pPr>
              <w:pStyle w:val="0"/>
              <w:jc w:val="center"/>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代替手段</w:t>
            </w:r>
          </w:p>
        </w:tc>
      </w:tr>
      <w:tr>
        <w:trPr>
          <w:trHeight w:val="328" w:hRule="atLeast"/>
        </w:trPr>
        <w:tc>
          <w:tcPr>
            <w:tcW w:w="1696"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診療録等</w:t>
            </w:r>
          </w:p>
        </w:tc>
        <w:tc>
          <w:tcPr>
            <w:tcW w:w="2410"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電子カルテシステム</w:t>
            </w:r>
          </w:p>
        </w:tc>
        <w:tc>
          <w:tcPr>
            <w:tcW w:w="4231"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紙運用</w:t>
            </w:r>
          </w:p>
        </w:tc>
      </w:tr>
      <w:tr>
        <w:trPr>
          <w:trHeight w:val="376" w:hRule="atLeast"/>
        </w:trPr>
        <w:tc>
          <w:tcPr>
            <w:tcW w:w="1696"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処方・検査</w:t>
            </w:r>
          </w:p>
        </w:tc>
        <w:tc>
          <w:tcPr>
            <w:tcW w:w="2410"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オーダリングシステム</w:t>
            </w:r>
          </w:p>
        </w:tc>
        <w:tc>
          <w:tcPr>
            <w:tcW w:w="4231"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紙運用（カーボンコピー）</w:t>
            </w:r>
          </w:p>
        </w:tc>
      </w:tr>
      <w:tr>
        <w:trPr>
          <w:trHeight w:val="364" w:hRule="atLeast"/>
        </w:trPr>
        <w:tc>
          <w:tcPr>
            <w:tcW w:w="1696"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放射線画像診断</w:t>
            </w:r>
          </w:p>
        </w:tc>
        <w:tc>
          <w:tcPr>
            <w:tcW w:w="2410"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PACS</w:t>
            </w:r>
          </w:p>
        </w:tc>
        <w:tc>
          <w:tcPr>
            <w:tcW w:w="4231"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撮影機器ワークステーションにて画像閲覧</w:t>
            </w:r>
          </w:p>
        </w:tc>
      </w:tr>
      <w:tr>
        <w:trPr>
          <w:trHeight w:val="145" w:hRule="atLeast"/>
        </w:trPr>
        <w:tc>
          <w:tcPr>
            <w:tcW w:w="1696"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会計</w:t>
            </w:r>
          </w:p>
        </w:tc>
        <w:tc>
          <w:tcPr>
            <w:tcW w:w="2410"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医事会計システム</w:t>
            </w:r>
          </w:p>
        </w:tc>
        <w:tc>
          <w:tcPr>
            <w:tcW w:w="4231"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未収扱いを検討</w:t>
            </w:r>
          </w:p>
        </w:tc>
      </w:tr>
      <w:tr>
        <w:trPr>
          <w:trHeight w:val="232" w:hRule="atLeast"/>
        </w:trPr>
        <w:tc>
          <w:tcPr>
            <w:tcW w:w="1696"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〇〇〇〇〇〇</w:t>
            </w:r>
          </w:p>
        </w:tc>
        <w:tc>
          <w:tcPr>
            <w:tcW w:w="2410"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〇〇〇〇〇〇</w:t>
            </w:r>
          </w:p>
        </w:tc>
        <w:tc>
          <w:tcPr>
            <w:tcW w:w="4231"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〇〇〇〇〇〇</w:t>
            </w:r>
          </w:p>
        </w:tc>
      </w:tr>
    </w:tbl>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表◯：業務内容に対する代替手段（例）</w:t>
      </w:r>
    </w:p>
    <w:p>
      <w:pPr>
        <w:pStyle w:val="0"/>
        <w:ind w:left="0" w:leftChars="0" w:firstLineChars="0"/>
        <w:rPr>
          <w:rFonts w:hint="eastAsia" w:asciiTheme="minorEastAsia" w:hAnsiTheme="minorEastAsia" w:eastAsiaTheme="minorEastAsia"/>
          <w:color w:val="auto"/>
          <w:highlight w:val="none"/>
        </w:rPr>
      </w:pPr>
    </w:p>
    <w:p>
      <w:pPr>
        <w:pStyle w:val="26"/>
        <w:numPr>
          <w:numId w:val="0"/>
        </w:numPr>
        <w:ind w:left="851" w:leftChars="0" w:hanging="851"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４　バックアップ体制</w:t>
      </w:r>
    </w:p>
    <w:p>
      <w:pPr>
        <w:pStyle w:val="26"/>
        <w:ind w:left="284" w:leftChars="0" w:firstLine="141" w:firstLineChars="67"/>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サイバーインシデント発生時に備えた、データとシステムのバックアップの頻度、作成方法及び復旧方法について以下のとおり定める。</w:t>
      </w:r>
    </w:p>
    <w:p>
      <w:pPr>
        <w:pStyle w:val="0"/>
        <w:ind w:firstLine="420" w:firstLineChars="2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表◯：バックアップの作成と復旧方法（例）</w:t>
      </w:r>
    </w:p>
    <w:tbl>
      <w:tblPr>
        <w:tblStyle w:val="41"/>
        <w:tblpPr w:leftFromText="142" w:rightFromText="142" w:topFromText="0" w:bottomFromText="0" w:vertAnchor="text" w:horzAnchor="page" w:tblpX="2067" w:tblpY="57"/>
        <w:tblW w:w="8455" w:type="dxa"/>
        <w:tblLayout w:type="fixed"/>
        <w:tblLook w:firstRow="1" w:lastRow="0" w:firstColumn="1" w:lastColumn="0" w:noHBand="0" w:noVBand="1" w:val="04A0"/>
      </w:tblPr>
      <w:tblGrid>
        <w:gridCol w:w="1271"/>
        <w:gridCol w:w="709"/>
        <w:gridCol w:w="3260"/>
        <w:gridCol w:w="3215"/>
      </w:tblGrid>
      <w:tr>
        <w:trPr>
          <w:trHeight w:val="381" w:hRule="atLeast"/>
        </w:trPr>
        <w:tc>
          <w:tcPr>
            <w:tcW w:w="1271" w:type="dxa"/>
            <w:shd w:val="clear" w:color="auto" w:fill="0070C0"/>
            <w:vAlign w:val="top"/>
          </w:tcPr>
          <w:p>
            <w:pPr>
              <w:pStyle w:val="0"/>
              <w:jc w:val="center"/>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システム</w:t>
            </w:r>
          </w:p>
        </w:tc>
        <w:tc>
          <w:tcPr>
            <w:tcW w:w="709" w:type="dxa"/>
            <w:shd w:val="clear" w:color="auto" w:fill="0070C0"/>
            <w:vAlign w:val="top"/>
          </w:tcPr>
          <w:p>
            <w:pPr>
              <w:pStyle w:val="0"/>
              <w:jc w:val="center"/>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頻度</w:t>
            </w:r>
          </w:p>
        </w:tc>
        <w:tc>
          <w:tcPr>
            <w:tcW w:w="3260" w:type="dxa"/>
            <w:shd w:val="clear" w:color="auto" w:fill="0070C0"/>
            <w:vAlign w:val="top"/>
          </w:tcPr>
          <w:p>
            <w:pPr>
              <w:pStyle w:val="0"/>
              <w:jc w:val="center"/>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作成方法</w:t>
            </w:r>
          </w:p>
        </w:tc>
        <w:tc>
          <w:tcPr>
            <w:tcW w:w="3215" w:type="dxa"/>
            <w:shd w:val="clear" w:color="auto" w:fill="0070C0"/>
            <w:vAlign w:val="top"/>
          </w:tcPr>
          <w:p>
            <w:pPr>
              <w:pStyle w:val="0"/>
              <w:jc w:val="center"/>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復旧方法</w:t>
            </w:r>
          </w:p>
        </w:tc>
      </w:tr>
      <w:tr>
        <w:trPr>
          <w:trHeight w:val="846" w:hRule="atLeast"/>
        </w:trPr>
        <w:tc>
          <w:tcPr>
            <w:tcW w:w="1271" w:type="dxa"/>
            <w:vMerge w:val="restart"/>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電子カルテ</w:t>
            </w:r>
          </w:p>
        </w:tc>
        <w:tc>
          <w:tcPr>
            <w:tcW w:w="709"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日</w:t>
            </w:r>
          </w:p>
        </w:tc>
        <w:tc>
          <w:tcPr>
            <w:tcW w:w="3260"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バックアップサーバにデータベースのバックアップを作成する</w:t>
            </w:r>
          </w:p>
        </w:tc>
        <w:tc>
          <w:tcPr>
            <w:tcW w:w="3215"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データベースを再構築した後に、バックアップサーバのデータを復元する</w:t>
            </w:r>
          </w:p>
        </w:tc>
      </w:tr>
      <w:tr>
        <w:trPr>
          <w:trHeight w:val="1196" w:hRule="atLeast"/>
        </w:trPr>
        <w:tc>
          <w:tcPr>
            <w:tcW w:w="1271" w:type="dxa"/>
            <w:vMerge w:val="continue"/>
            <w:vAlign w:val="top"/>
          </w:tcPr>
          <w:p>
            <w:pPr>
              <w:pStyle w:val="0"/>
              <w:rPr>
                <w:rFonts w:hint="eastAsia"/>
              </w:rPr>
            </w:pPr>
          </w:p>
        </w:tc>
        <w:tc>
          <w:tcPr>
            <w:tcW w:w="709"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日</w:t>
            </w:r>
          </w:p>
        </w:tc>
        <w:tc>
          <w:tcPr>
            <w:tcW w:w="3260"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磁気テープ・光学メディア・外付け</w:t>
            </w:r>
            <w:r>
              <w:rPr>
                <w:rFonts w:hint="eastAsia" w:asciiTheme="minorEastAsia" w:hAnsiTheme="minorEastAsia" w:eastAsiaTheme="minorEastAsia"/>
                <w:color w:val="auto"/>
                <w:highlight w:val="none"/>
              </w:rPr>
              <w:t>HDD</w:t>
            </w:r>
            <w:r>
              <w:rPr>
                <w:rFonts w:hint="eastAsia" w:asciiTheme="minorEastAsia" w:hAnsiTheme="minorEastAsia" w:eastAsiaTheme="minorEastAsia"/>
                <w:color w:val="auto"/>
                <w:highlight w:val="none"/>
              </w:rPr>
              <w:t>等にデータベースとシステムファイルのバックアップを作成する</w:t>
            </w:r>
          </w:p>
        </w:tc>
        <w:tc>
          <w:tcPr>
            <w:tcW w:w="3215"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システムの</w:t>
            </w:r>
            <w:r>
              <w:rPr>
                <w:rFonts w:hint="eastAsia" w:asciiTheme="minorEastAsia" w:hAnsiTheme="minorEastAsia" w:eastAsiaTheme="minorEastAsia"/>
                <w:color w:val="auto"/>
                <w:highlight w:val="none"/>
              </w:rPr>
              <w:t>OS</w:t>
            </w:r>
            <w:r>
              <w:rPr>
                <w:rFonts w:hint="eastAsia" w:asciiTheme="minorEastAsia" w:hAnsiTheme="minorEastAsia" w:eastAsiaTheme="minorEastAsia"/>
                <w:color w:val="auto"/>
                <w:highlight w:val="none"/>
              </w:rPr>
              <w:t>を再構築した後に、磁気テープのシステムファイルとデータベースのデータを復元する</w:t>
            </w:r>
          </w:p>
        </w:tc>
      </w:tr>
      <w:tr>
        <w:trPr>
          <w:trHeight w:val="381" w:hRule="atLeast"/>
        </w:trPr>
        <w:tc>
          <w:tcPr>
            <w:tcW w:w="1271"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709" w:type="dxa"/>
            <w:vAlign w:val="top"/>
          </w:tcPr>
          <w:p>
            <w:pPr>
              <w:pStyle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3260"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3215" w:type="dxa"/>
            <w:vAlign w:val="top"/>
          </w:tcPr>
          <w:p>
            <w:pPr>
              <w:pStyle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r>
    </w:tbl>
    <w:p>
      <w:pPr>
        <w:pStyle w:val="26"/>
        <w:spacing w:before="180" w:beforeLines="50" w:beforeAutospacing="0"/>
        <w:ind w:left="851" w:leftChars="0" w:hanging="1031" w:firstLineChars="0"/>
        <w:rPr>
          <w:rFonts w:hint="eastAsia"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　　　</w:t>
      </w:r>
      <w:r>
        <w:rPr>
          <w:rFonts w:hint="eastAsia" w:asciiTheme="minorEastAsia" w:hAnsiTheme="minorEastAsia" w:eastAsiaTheme="minorEastAsia"/>
          <w:b w:val="0"/>
          <w:color w:val="FF0000"/>
          <w:highlight w:val="none"/>
          <w:u w:val="single" w:color="auto"/>
        </w:rPr>
        <w:t>※</w:t>
      </w:r>
      <w:r>
        <w:rPr>
          <w:rFonts w:hint="eastAsia" w:asciiTheme="minorEastAsia" w:hAnsiTheme="minorEastAsia" w:eastAsiaTheme="minorEastAsia"/>
          <w:b w:val="0"/>
          <w:color w:val="FF0000"/>
          <w:highlight w:val="none"/>
          <w:u w:val="single" w:color="auto"/>
        </w:rPr>
        <w:t xml:space="preserve"> </w:t>
      </w:r>
      <w:r>
        <w:rPr>
          <w:rFonts w:hint="eastAsia" w:asciiTheme="minorEastAsia" w:hAnsiTheme="minorEastAsia" w:eastAsiaTheme="minorEastAsia"/>
          <w:b w:val="0"/>
          <w:color w:val="FF0000"/>
          <w:highlight w:val="none"/>
          <w:u w:val="single" w:color="auto"/>
        </w:rPr>
        <w:t>本項目については、上記に代えて以下とすることも可</w:t>
      </w:r>
      <w:r>
        <w:rPr>
          <w:rFonts w:hint="eastAsia" w:asciiTheme="minorEastAsia" w:hAnsiTheme="minorEastAsia" w:eastAsiaTheme="minorEastAsia"/>
          <w:b w:val="0"/>
          <w:color w:val="auto"/>
          <w:highlight w:val="none"/>
        </w:rPr>
        <w:t>　</w:t>
      </w:r>
    </w:p>
    <w:p>
      <w:pPr>
        <w:pStyle w:val="26"/>
        <w:ind w:left="630" w:leftChars="300" w:firstLine="0" w:firstLineChars="0"/>
        <w:rPr>
          <w:rFonts w:hint="eastAsia" w:asciiTheme="minorEastAsia" w:hAnsiTheme="minorEastAsia" w:eastAsiaTheme="minorEastAsia"/>
          <w:b w:val="0"/>
          <w:color w:val="auto"/>
          <w:highlight w:val="none"/>
        </w:rPr>
      </w:pPr>
      <w:r>
        <w:rPr>
          <w:rFonts w:hint="eastAsia" w:asciiTheme="minorEastAsia" w:hAnsiTheme="minorEastAsia" w:eastAsiaTheme="minorEastAsia"/>
          <w:b w:val="0"/>
          <w:color w:val="auto"/>
        </w:rPr>
        <w:t>「インシデント発生時に診療を継続するために必要な情報を検討し、データやシステムのバックアップの実施と復旧手順を確認する。」</w:t>
      </w:r>
    </w:p>
    <w:p>
      <w:pPr>
        <w:pStyle w:val="26"/>
        <w:ind w:left="851" w:leftChars="0" w:hanging="1031" w:firstLineChars="0"/>
        <w:rPr>
          <w:rFonts w:hint="eastAsia"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 xml:space="preserve">  </w:t>
      </w:r>
      <w:r>
        <w:rPr>
          <w:rFonts w:hint="eastAsia" w:asciiTheme="minorEastAsia" w:hAnsiTheme="minorEastAsia" w:eastAsiaTheme="minorEastAsia"/>
          <w:b w:val="0"/>
          <w:color w:val="auto"/>
          <w:sz w:val="24"/>
          <w:highlight w:val="none"/>
        </w:rPr>
        <w:t>第３章　サイバーインシデント発生時の対応</w:t>
      </w:r>
    </w:p>
    <w:p>
      <w:pPr>
        <w:pStyle w:val="39"/>
        <w:numPr>
          <w:numId w:val="0"/>
        </w:numPr>
        <w:ind w:left="0" w:leftChars="0" w:firstLine="210" w:firstLineChars="100"/>
        <w:rPr>
          <w:rFonts w:hint="eastAsia" w:asciiTheme="minorEastAsia" w:hAnsiTheme="minorEastAsia" w:eastAsiaTheme="minorEastAsia"/>
          <w:b w:val="0"/>
          <w:color w:val="auto"/>
        </w:rPr>
      </w:pPr>
      <w:bookmarkStart w:id="4" w:name="_Toc153875879"/>
      <w:bookmarkEnd w:id="4"/>
      <w:r>
        <w:rPr>
          <w:rFonts w:hint="eastAsia" w:asciiTheme="minorEastAsia" w:hAnsiTheme="minorEastAsia" w:eastAsiaTheme="minorEastAsia"/>
          <w:b w:val="0"/>
          <w:color w:val="auto"/>
        </w:rPr>
        <w:t>１　初動対応</w:t>
      </w:r>
    </w:p>
    <w:p>
      <w:pPr>
        <w:pStyle w:val="0"/>
        <w:ind w:firstLine="21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（１）発生事象の発見・報告</w:t>
      </w:r>
    </w:p>
    <w:p>
      <w:pPr>
        <w:pStyle w:val="0"/>
        <w:ind w:leftChars="0" w:firstLine="538" w:firstLineChars="256"/>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事象の発見者は、速やかに以下の内容を</w:t>
      </w:r>
      <w:r>
        <w:rPr>
          <w:rFonts w:hint="eastAsia" w:asciiTheme="minorEastAsia" w:hAnsiTheme="minorEastAsia" w:eastAsiaTheme="minorEastAsia"/>
          <w:color w:val="auto"/>
          <w:highlight w:val="none"/>
        </w:rPr>
        <w:t>医療情報システム安全管理責任者</w:t>
      </w:r>
      <w:r>
        <w:rPr>
          <w:rFonts w:hint="eastAsia" w:asciiTheme="minorEastAsia" w:hAnsiTheme="minorEastAsia" w:eastAsiaTheme="minorEastAsia"/>
          <w:b w:val="0"/>
          <w:color w:val="auto"/>
        </w:rPr>
        <w:t>へ報告する。</w:t>
      </w:r>
    </w:p>
    <w:p>
      <w:pPr>
        <w:pStyle w:val="26"/>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発見日時・経緯</w:t>
      </w:r>
    </w:p>
    <w:p>
      <w:pPr>
        <w:pStyle w:val="26"/>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発生状況</w:t>
      </w:r>
    </w:p>
    <w:p>
      <w:pPr>
        <w:pStyle w:val="26"/>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処置内容</w:t>
      </w:r>
    </w:p>
    <w:p>
      <w:pPr>
        <w:pStyle w:val="0"/>
        <w:rPr>
          <w:rFonts w:hint="eastAsia" w:asciiTheme="minorEastAsia" w:hAnsiTheme="minorEastAsia" w:eastAsiaTheme="minorEastAsia"/>
          <w:b w:val="0"/>
          <w:color w:val="auto"/>
        </w:rPr>
      </w:pPr>
    </w:p>
    <w:p>
      <w:pPr>
        <w:pStyle w:val="0"/>
        <w:ind w:firstLine="21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（２）被害拡大防止・二次被害抑止</w:t>
      </w:r>
    </w:p>
    <w:p>
      <w:pPr>
        <w:pStyle w:val="0"/>
        <w:ind w:left="420" w:leftChars="200" w:firstLine="210" w:firstLineChars="100"/>
        <w:rPr>
          <w:rFonts w:hint="eastAsia" w:asciiTheme="minorEastAsia" w:hAnsiTheme="minorEastAsia" w:eastAsiaTheme="minorEastAsia"/>
          <w:b w:val="0"/>
          <w:color w:val="auto"/>
        </w:rPr>
      </w:pPr>
      <w:r>
        <w:rPr>
          <w:rFonts w:hint="eastAsia" w:asciiTheme="minorEastAsia" w:hAnsiTheme="minorEastAsia" w:eastAsiaTheme="minorEastAsia"/>
          <w:color w:val="auto"/>
          <w:highlight w:val="none"/>
        </w:rPr>
        <w:t>医療情報システム安全管理責任者</w:t>
      </w:r>
      <w:r>
        <w:rPr>
          <w:rFonts w:hint="eastAsia" w:asciiTheme="minorEastAsia" w:hAnsiTheme="minorEastAsia" w:eastAsiaTheme="minorEastAsia"/>
          <w:b w:val="0"/>
          <w:color w:val="auto"/>
        </w:rPr>
        <w:t>は、被害拡大防止や二次被害抑止の観点で、以下の対応または指示を速やかに実施する。</w:t>
      </w:r>
      <w:bookmarkStart w:id="5" w:name="_Hlk148951428"/>
      <w:bookmarkEnd w:id="5"/>
    </w:p>
    <w:p>
      <w:pPr>
        <w:pStyle w:val="26"/>
        <w:ind w:left="748" w:leftChars="256" w:hanging="21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①事象が発生した該当端末等を社内ＬＡＮやインターネット等のネットワークから切り離す。</w:t>
      </w:r>
    </w:p>
    <w:p>
      <w:pPr>
        <w:pStyle w:val="26"/>
        <w:ind w:left="748" w:leftChars="256" w:hanging="210" w:hanging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②類似事象が他部門で発生していないかを確認し、発生している場合はネットワークを停止する。</w:t>
      </w:r>
    </w:p>
    <w:p>
      <w:pPr>
        <w:pStyle w:val="26"/>
        <w:rPr>
          <w:rFonts w:hint="eastAsia" w:asciiTheme="minorEastAsia" w:hAnsiTheme="minorEastAsia" w:eastAsiaTheme="minorEastAsia"/>
          <w:b w:val="0"/>
          <w:color w:val="auto"/>
        </w:rPr>
      </w:pPr>
    </w:p>
    <w:p>
      <w:pPr>
        <w:pStyle w:val="0"/>
        <w:ind w:leftChars="0" w:firstLine="179" w:firstLineChars="85"/>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（３）証拠保全・原因調査</w:t>
      </w:r>
    </w:p>
    <w:p>
      <w:pPr>
        <w:pStyle w:val="0"/>
        <w:ind w:left="420" w:leftChars="200" w:firstLine="210" w:firstLineChars="100"/>
        <w:rPr>
          <w:rFonts w:hint="eastAsia" w:asciiTheme="minorEastAsia" w:hAnsiTheme="minorEastAsia" w:eastAsiaTheme="minorEastAsia"/>
          <w:b w:val="0"/>
          <w:color w:val="auto"/>
        </w:rPr>
      </w:pPr>
      <w:r>
        <w:rPr>
          <w:rFonts w:hint="eastAsia" w:asciiTheme="minorEastAsia" w:hAnsiTheme="minorEastAsia" w:eastAsiaTheme="minorEastAsia"/>
          <w:color w:val="auto"/>
          <w:highlight w:val="none"/>
        </w:rPr>
        <w:t>医療情報システム安全管理責任者</w:t>
      </w:r>
      <w:r>
        <w:rPr>
          <w:rFonts w:hint="eastAsia" w:asciiTheme="minorEastAsia" w:hAnsiTheme="minorEastAsia" w:eastAsiaTheme="minorEastAsia"/>
          <w:b w:val="0"/>
          <w:color w:val="auto"/>
        </w:rPr>
        <w:t>は、サイバー攻撃の原因や被害範囲の特定のために、以下の対応を行う。</w:t>
      </w:r>
    </w:p>
    <w:p>
      <w:pPr>
        <w:pStyle w:val="26"/>
        <w:ind w:left="0" w:leftChars="0" w:firstLine="630" w:firstLineChars="3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①発生した事実関係を時系列で整理し、情報を管理する。</w:t>
      </w:r>
    </w:p>
    <w:p>
      <w:pPr>
        <w:pStyle w:val="26"/>
        <w:ind w:left="0" w:leftChars="0" w:right="-134" w:rightChars="-64" w:firstLine="630" w:firstLineChars="3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②端末初期化等を控えるよう指示し、外部調査に必要なシステム上の証拠を保全する。</w:t>
      </w:r>
    </w:p>
    <w:p>
      <w:pPr>
        <w:pStyle w:val="0"/>
        <w:rPr>
          <w:rFonts w:hint="eastAsia" w:asciiTheme="minorEastAsia" w:hAnsiTheme="minorEastAsia" w:eastAsiaTheme="minorEastAsia"/>
          <w:b w:val="0"/>
          <w:color w:val="auto"/>
        </w:rPr>
      </w:pPr>
    </w:p>
    <w:p>
      <w:pPr>
        <w:pStyle w:val="0"/>
        <w:ind w:leftChars="0" w:firstLine="179" w:firstLineChars="85"/>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（４）外部関係先への連絡</w:t>
      </w:r>
    </w:p>
    <w:p>
      <w:pPr>
        <w:pStyle w:val="0"/>
        <w:ind w:left="420" w:leftChars="200" w:firstLine="118" w:firstLineChars="56"/>
        <w:rPr>
          <w:rFonts w:hint="eastAsia" w:asciiTheme="minorEastAsia" w:hAnsiTheme="minorEastAsia" w:eastAsiaTheme="minorEastAsia"/>
          <w:b w:val="0"/>
          <w:color w:val="auto"/>
        </w:rPr>
      </w:pPr>
      <w:r>
        <w:rPr>
          <w:rFonts w:hint="eastAsia" w:asciiTheme="minorEastAsia" w:hAnsiTheme="minorEastAsia" w:eastAsiaTheme="minorEastAsia"/>
          <w:color w:val="auto"/>
          <w:highlight w:val="none"/>
        </w:rPr>
        <w:t>医療情報システム安全管理責任者</w:t>
      </w:r>
      <w:r>
        <w:rPr>
          <w:rFonts w:hint="eastAsia" w:asciiTheme="minorEastAsia" w:hAnsiTheme="minorEastAsia" w:eastAsiaTheme="minorEastAsia"/>
          <w:b w:val="0"/>
          <w:color w:val="auto"/>
        </w:rPr>
        <w:t>は、別紙１・連絡体制図に記載のある連絡先に</w:t>
      </w:r>
      <w:r>
        <w:rPr>
          <w:rFonts w:hint="eastAsia" w:asciiTheme="minorEastAsia" w:hAnsiTheme="minorEastAsia" w:eastAsiaTheme="minorEastAsia"/>
          <w:color w:val="auto"/>
        </w:rPr>
        <w:t>速やかに状況を連絡する。</w:t>
      </w:r>
    </w:p>
    <w:p>
      <w:pPr>
        <w:pStyle w:val="39"/>
        <w:numPr>
          <w:numId w:val="0"/>
        </w:numPr>
        <w:ind w:left="851" w:leftChars="0" w:firstLine="0" w:firstLineChars="0"/>
        <w:rPr>
          <w:rFonts w:hint="eastAsia" w:asciiTheme="minorEastAsia" w:hAnsiTheme="minorEastAsia" w:eastAsiaTheme="minorEastAsia"/>
          <w:b w:val="0"/>
          <w:color w:val="auto"/>
        </w:rPr>
      </w:pPr>
      <w:bookmarkStart w:id="6" w:name="_Toc153875880"/>
      <w:bookmarkEnd w:id="6"/>
    </w:p>
    <w:p>
      <w:pPr>
        <w:pStyle w:val="39"/>
        <w:numPr>
          <w:numId w:val="0"/>
        </w:numPr>
        <w:ind w:left="851" w:leftChars="0" w:hanging="671" w:firstLineChars="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２　業務継続対応</w:t>
      </w:r>
    </w:p>
    <w:p>
      <w:pPr>
        <w:pStyle w:val="0"/>
        <w:ind w:leftChars="0" w:firstLine="179" w:firstLineChars="85"/>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（１）業務復旧対応</w:t>
      </w:r>
    </w:p>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w:t>
      </w:r>
      <w:r>
        <w:rPr>
          <w:rFonts w:hint="eastAsia" w:asciiTheme="minorEastAsia" w:hAnsiTheme="minorEastAsia" w:eastAsiaTheme="minorEastAsia"/>
          <w:b w:val="0"/>
          <w:color w:val="auto"/>
        </w:rPr>
        <w:t xml:space="preserve"> </w:t>
      </w:r>
      <w:r>
        <w:rPr>
          <w:rFonts w:hint="eastAsia" w:asciiTheme="minorEastAsia" w:hAnsiTheme="minorEastAsia" w:eastAsiaTheme="minorEastAsia"/>
          <w:b w:val="0"/>
          <w:color w:val="auto"/>
        </w:rPr>
        <w:t>早期に通常業務に戻るために、以下の対応を行う。</w:t>
      </w:r>
    </w:p>
    <w:p>
      <w:pPr>
        <w:pStyle w:val="0"/>
        <w:ind w:left="851" w:leftChars="257" w:hanging="311" w:hangingChars="148"/>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①システム復旧について、システム事業者と連携し、その可否を判断する。</w:t>
      </w:r>
    </w:p>
    <w:p>
      <w:pPr>
        <w:pStyle w:val="26"/>
        <w:ind w:left="719" w:leftChars="257" w:hanging="179" w:hangingChars="85"/>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②データ復旧について、バックアップデータの復旧手順に従い、データ復旧可否を判断する。</w:t>
      </w:r>
    </w:p>
    <w:p>
      <w:pPr>
        <w:pStyle w:val="0"/>
        <w:ind w:firstLine="210" w:firstLineChars="100"/>
        <w:rPr>
          <w:rFonts w:hint="eastAsia" w:asciiTheme="minorEastAsia" w:hAnsiTheme="minorEastAsia" w:eastAsiaTheme="minorEastAsia"/>
          <w:b w:val="0"/>
          <w:color w:val="auto"/>
        </w:rPr>
      </w:pPr>
    </w:p>
    <w:p>
      <w:pPr>
        <w:pStyle w:val="0"/>
        <w:ind w:firstLine="21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（２）診療可否の判断と診療形態の決定</w:t>
      </w:r>
    </w:p>
    <w:p>
      <w:pPr>
        <w:pStyle w:val="26"/>
        <w:numPr>
          <w:numId w:val="0"/>
        </w:numPr>
        <w:ind w:left="567" w:leftChars="0" w:firstLine="0" w:firstLineChars="0"/>
        <w:rPr>
          <w:rFonts w:hint="eastAsia" w:asciiTheme="minorEastAsia" w:hAnsiTheme="minorEastAsia" w:eastAsiaTheme="minorEastAsia"/>
          <w:b w:val="0"/>
          <w:color w:val="auto"/>
          <w:highlight w:val="none"/>
        </w:rPr>
      </w:pPr>
      <w:r>
        <w:rPr>
          <w:rFonts w:hint="eastAsia" w:asciiTheme="minorEastAsia" w:hAnsiTheme="minorEastAsia" w:eastAsiaTheme="minorEastAsia"/>
          <w:b w:val="0"/>
          <w:color w:val="auto"/>
        </w:rPr>
        <w:t>　診療継続と判断した場合、提供可能な診療形態を速やかに決定する。</w:t>
      </w:r>
    </w:p>
    <w:p>
      <w:pPr>
        <w:pStyle w:val="26"/>
        <w:ind w:left="709" w:leftChars="0"/>
        <w:rPr>
          <w:rFonts w:hint="eastAsia" w:asciiTheme="minorEastAsia" w:hAnsiTheme="minorEastAsia" w:eastAsiaTheme="minorEastAsia"/>
          <w:b w:val="0"/>
          <w:color w:val="auto"/>
          <w:highlight w:val="none"/>
        </w:rPr>
      </w:pPr>
    </w:p>
    <w:p>
      <w:pPr>
        <w:pStyle w:val="0"/>
        <w:widowControl w:val="1"/>
        <w:jc w:val="left"/>
        <w:rPr>
          <w:rFonts w:hint="eastAsia"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附則</w:t>
      </w:r>
    </w:p>
    <w:p>
      <w:pPr>
        <w:pStyle w:val="0"/>
        <w:widowControl w:val="1"/>
        <w:jc w:val="left"/>
        <w:rPr>
          <w:rFonts w:hint="eastAsia"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本ＢＣＰは、令和６年○月○日から施行する。</w:t>
      </w:r>
    </w:p>
    <w:sectPr>
      <w:pgSz w:w="11906" w:h="16838"/>
      <w:pgMar w:top="964" w:right="1701" w:bottom="62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4090025"/>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numPr>
        <w:ilvl w:val="0"/>
        <w:numId w:val="1"/>
      </w:numPr>
      <w:outlineLvl w:val="0"/>
    </w:pPr>
    <w:rPr>
      <w:rFonts w:asciiTheme="majorHAnsi" w:hAnsiTheme="majorHAnsi" w:eastAsiaTheme="majorEastAsia"/>
      <w:sz w:val="24"/>
    </w:rPr>
  </w:style>
  <w:style w:type="paragraph" w:styleId="2">
    <w:name w:val="heading 2"/>
    <w:basedOn w:val="0"/>
    <w:next w:val="0"/>
    <w:link w:val="18"/>
    <w:uiPriority w:val="0"/>
    <w:qFormat/>
    <w:pPr>
      <w:keepNext w:val="1"/>
      <w:numPr>
        <w:ilvl w:val="1"/>
        <w:numId w:val="1"/>
      </w:numPr>
      <w:outlineLvl w:val="1"/>
    </w:pPr>
    <w:rPr>
      <w:rFonts w:asciiTheme="majorHAnsi" w:hAnsiTheme="majorHAnsi" w:eastAsiaTheme="majorEastAsia"/>
    </w:rPr>
  </w:style>
  <w:style w:type="paragraph" w:styleId="3">
    <w:name w:val="heading 3"/>
    <w:basedOn w:val="0"/>
    <w:next w:val="0"/>
    <w:link w:val="19"/>
    <w:uiPriority w:val="0"/>
    <w:qFormat/>
    <w:pPr>
      <w:keepNext w:val="1"/>
      <w:numPr>
        <w:ilvl w:val="2"/>
        <w:numId w:val="1"/>
      </w:numPr>
      <w:outlineLvl w:val="2"/>
    </w:pPr>
    <w:rPr>
      <w:rFonts w:asciiTheme="majorHAnsi" w:hAnsiTheme="majorHAnsi" w:eastAsiaTheme="majorEastAsia"/>
    </w:rPr>
  </w:style>
  <w:style w:type="paragraph" w:styleId="4">
    <w:name w:val="heading 4"/>
    <w:basedOn w:val="0"/>
    <w:next w:val="0"/>
    <w:link w:val="20"/>
    <w:uiPriority w:val="0"/>
    <w:qFormat/>
    <w:pPr>
      <w:keepNext w:val="1"/>
      <w:numPr>
        <w:ilvl w:val="3"/>
        <w:numId w:val="1"/>
      </w:numPr>
      <w:outlineLvl w:val="3"/>
    </w:pPr>
    <w:rPr>
      <w:b w:val="1"/>
    </w:rPr>
  </w:style>
  <w:style w:type="paragraph" w:styleId="5">
    <w:name w:val="heading 5"/>
    <w:basedOn w:val="0"/>
    <w:next w:val="0"/>
    <w:link w:val="21"/>
    <w:uiPriority w:val="0"/>
    <w:qFormat/>
    <w:pPr>
      <w:keepNext w:val="1"/>
      <w:numPr>
        <w:ilvl w:val="4"/>
        <w:numId w:val="1"/>
      </w:numPr>
      <w:outlineLvl w:val="4"/>
    </w:pPr>
    <w:rPr>
      <w:rFonts w:asciiTheme="majorHAnsi" w:hAnsiTheme="majorHAnsi" w:eastAsiaTheme="majorEastAsia"/>
    </w:rPr>
  </w:style>
  <w:style w:type="paragraph" w:styleId="6">
    <w:name w:val="heading 6"/>
    <w:basedOn w:val="0"/>
    <w:next w:val="0"/>
    <w:link w:val="22"/>
    <w:uiPriority w:val="0"/>
    <w:qFormat/>
    <w:pPr>
      <w:keepNext w:val="1"/>
      <w:numPr>
        <w:ilvl w:val="5"/>
        <w:numId w:val="1"/>
      </w:numPr>
      <w:outlineLvl w:val="5"/>
    </w:pPr>
    <w:rPr>
      <w:b w:val="1"/>
    </w:rPr>
  </w:style>
  <w:style w:type="paragraph" w:styleId="7">
    <w:name w:val="heading 7"/>
    <w:basedOn w:val="0"/>
    <w:next w:val="0"/>
    <w:link w:val="23"/>
    <w:uiPriority w:val="0"/>
    <w:qFormat/>
    <w:pPr>
      <w:keepNext w:val="1"/>
      <w:numPr>
        <w:ilvl w:val="6"/>
        <w:numId w:val="1"/>
      </w:numPr>
      <w:outlineLvl w:val="6"/>
    </w:pPr>
  </w:style>
  <w:style w:type="paragraph" w:styleId="8">
    <w:name w:val="heading 8"/>
    <w:basedOn w:val="0"/>
    <w:next w:val="0"/>
    <w:link w:val="24"/>
    <w:uiPriority w:val="0"/>
    <w:qFormat/>
    <w:pPr>
      <w:keepNext w:val="1"/>
      <w:numPr>
        <w:ilvl w:val="7"/>
        <w:numId w:val="1"/>
      </w:numPr>
      <w:outlineLvl w:val="7"/>
    </w:pPr>
  </w:style>
  <w:style w:type="paragraph" w:styleId="9">
    <w:name w:val="heading 9"/>
    <w:basedOn w:val="0"/>
    <w:next w:val="0"/>
    <w:link w:val="25"/>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customStyle="1">
    <w:name w:val="見出し 1 (文字)"/>
    <w:basedOn w:val="10"/>
    <w:next w:val="17"/>
    <w:link w:val="1"/>
    <w:uiPriority w:val="0"/>
    <w:rPr>
      <w:rFonts w:asciiTheme="majorHAnsi" w:hAnsiTheme="majorHAnsi" w:eastAsiaTheme="majorEastAsia"/>
      <w:sz w:val="24"/>
    </w:rPr>
  </w:style>
  <w:style w:type="character" w:styleId="18" w:customStyle="1">
    <w:name w:val="見出し 2 (文字)"/>
    <w:basedOn w:val="10"/>
    <w:next w:val="18"/>
    <w:link w:val="2"/>
    <w:uiPriority w:val="0"/>
    <w:rPr>
      <w:rFonts w:asciiTheme="majorHAnsi" w:hAnsiTheme="majorHAnsi" w:eastAsiaTheme="majorEastAsia"/>
    </w:rPr>
  </w:style>
  <w:style w:type="character" w:styleId="19" w:customStyle="1">
    <w:name w:val="見出し 3 (文字)"/>
    <w:basedOn w:val="10"/>
    <w:next w:val="19"/>
    <w:link w:val="3"/>
    <w:uiPriority w:val="0"/>
    <w:rPr>
      <w:rFonts w:asciiTheme="majorHAnsi" w:hAnsiTheme="majorHAnsi" w:eastAsiaTheme="majorEastAsia"/>
    </w:rPr>
  </w:style>
  <w:style w:type="character" w:styleId="20" w:customStyle="1">
    <w:name w:val="見出し 4 (文字)"/>
    <w:basedOn w:val="10"/>
    <w:next w:val="20"/>
    <w:link w:val="4"/>
    <w:uiPriority w:val="0"/>
    <w:rPr>
      <w:b w:val="1"/>
    </w:rPr>
  </w:style>
  <w:style w:type="character" w:styleId="21" w:customStyle="1">
    <w:name w:val="見出し 5 (文字)"/>
    <w:basedOn w:val="10"/>
    <w:next w:val="21"/>
    <w:link w:val="5"/>
    <w:uiPriority w:val="0"/>
    <w:rPr>
      <w:rFonts w:asciiTheme="majorHAnsi" w:hAnsiTheme="majorHAnsi" w:eastAsiaTheme="majorEastAsia"/>
    </w:rPr>
  </w:style>
  <w:style w:type="character" w:styleId="22" w:customStyle="1">
    <w:name w:val="見出し 6 (文字)"/>
    <w:basedOn w:val="10"/>
    <w:next w:val="22"/>
    <w:link w:val="6"/>
    <w:uiPriority w:val="0"/>
    <w:rPr>
      <w:b w:val="1"/>
    </w:rPr>
  </w:style>
  <w:style w:type="character" w:styleId="23" w:customStyle="1">
    <w:name w:val="見出し 7 (文字)"/>
    <w:basedOn w:val="10"/>
    <w:next w:val="23"/>
    <w:link w:val="7"/>
    <w:uiPriority w:val="0"/>
  </w:style>
  <w:style w:type="character" w:styleId="24" w:customStyle="1">
    <w:name w:val="見出し 8 (文字)"/>
    <w:basedOn w:val="10"/>
    <w:next w:val="24"/>
    <w:link w:val="8"/>
    <w:uiPriority w:val="0"/>
  </w:style>
  <w:style w:type="character" w:styleId="25" w:customStyle="1">
    <w:name w:val="見出し 9 (文字)"/>
    <w:basedOn w:val="10"/>
    <w:next w:val="25"/>
    <w:link w:val="9"/>
    <w:uiPriority w:val="0"/>
  </w:style>
  <w:style w:type="paragraph" w:styleId="26">
    <w:name w:val="List Paragraph"/>
    <w:basedOn w:val="0"/>
    <w:next w:val="26"/>
    <w:link w:val="0"/>
    <w:uiPriority w:val="0"/>
    <w:qFormat/>
    <w:pPr>
      <w:ind w:left="840" w:leftChars="40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paragraph" w:styleId="31">
    <w:name w:val="Revision"/>
    <w:next w:val="31"/>
    <w:link w:val="0"/>
    <w:uiPriority w:val="0"/>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basedOn w:val="10"/>
    <w:next w:val="34"/>
    <w:link w:val="33"/>
    <w:uiPriority w:val="0"/>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rPr>
      <w:b w:val="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paragraph" w:styleId="39" w:customStyle="1">
    <w:name w:val="見出し２"/>
    <w:basedOn w:val="2"/>
    <w:next w:val="39"/>
    <w:link w:val="40"/>
    <w:uiPriority w:val="0"/>
    <w:qFormat/>
    <w:rPr>
      <w:rFonts w:ascii="ＭＳ ゴシック" w:hAnsi="ＭＳ ゴシック" w:eastAsia="ＭＳ ゴシック"/>
      <w:b w:val="1"/>
    </w:rPr>
  </w:style>
  <w:style w:type="character" w:styleId="40" w:customStyle="1">
    <w:name w:val="見出し２ (文字)"/>
    <w:basedOn w:val="10"/>
    <w:next w:val="40"/>
    <w:link w:val="39"/>
    <w:uiPriority w:val="0"/>
    <w:rPr>
      <w:rFonts w:ascii="ＭＳ ゴシック" w:hAnsi="ＭＳ ゴシック" w:eastAsia="ＭＳ ゴシック"/>
      <w:b w:val="1"/>
    </w:r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1196</TotalTime>
  <Pages>5</Pages>
  <Words>7</Words>
  <Characters>2165</Characters>
  <Application>JUST Note</Application>
  <Lines>340</Lines>
  <Paragraphs>119</Paragraphs>
  <CharactersWithSpaces>2206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小野田　大樹</cp:lastModifiedBy>
  <cp:lastPrinted>2024-07-22T01:57:19Z</cp:lastPrinted>
  <dcterms:created xsi:type="dcterms:W3CDTF">2024-05-01T17:07:00Z</dcterms:created>
  <dcterms:modified xsi:type="dcterms:W3CDTF">2024-08-20T08:54:24Z</dcterms:modified>
  <cp:revision>38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0x010100F85FF4774E12C2409D675F48078F62BD</vt:lpwstr>
  </property>
</Properties>
</file>