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Theme="majorEastAsia" w:hAnsiTheme="majorEastAsia" w:eastAsiaTheme="majorEastAsia"/>
          <w:spacing w:val="1"/>
          <w:w w:val="73"/>
          <w:sz w:val="36"/>
          <w:fitText w:val="9000" w:id="1"/>
        </w:rPr>
        <w:t>自立支援医療機関（更生医療・育成医療、精神通院医療）指導監査　調査</w:t>
      </w:r>
      <w:r>
        <w:rPr>
          <w:rFonts w:hint="eastAsia" w:asciiTheme="majorEastAsia" w:hAnsiTheme="majorEastAsia" w:eastAsiaTheme="majorEastAsia"/>
          <w:spacing w:val="20"/>
          <w:w w:val="73"/>
          <w:sz w:val="36"/>
          <w:fitText w:val="9000" w:id="1"/>
        </w:rPr>
        <w:t>票</w:t>
      </w:r>
    </w:p>
    <w:tbl>
      <w:tblPr>
        <w:tblStyle w:val="17"/>
        <w:tblW w:w="0" w:type="auto"/>
        <w:tblInd w:w="108" w:type="dxa"/>
        <w:tblLayout w:type="fixed"/>
        <w:tblLook w:firstRow="1" w:lastRow="0" w:firstColumn="1" w:lastColumn="0" w:noHBand="0" w:noVBand="1" w:val="04A0"/>
      </w:tblPr>
      <w:tblGrid>
        <w:gridCol w:w="1680"/>
        <w:gridCol w:w="2100"/>
      </w:tblGrid>
      <w:tr>
        <w:trPr/>
        <w:tc>
          <w:tcPr>
            <w:tcW w:w="1680" w:type="dxa"/>
            <w:vAlign w:val="top"/>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医療機関番号</w:t>
            </w:r>
          </w:p>
        </w:tc>
        <w:tc>
          <w:tcPr>
            <w:tcW w:w="210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1260"/>
        <w:gridCol w:w="1260"/>
        <w:gridCol w:w="6930"/>
      </w:tblGrid>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医療機関</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訪問看護ステーション○○</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w:t>
            </w: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静岡県○○市（町）△△　□□－□□</w:t>
            </w: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r>
        <w:trPr>
          <w:trHeight w:val="360" w:hRule="atLeast"/>
        </w:trPr>
        <w:tc>
          <w:tcPr>
            <w:tcW w:w="1260" w:type="dxa"/>
            <w:vMerge w:val="restart"/>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開設者</w:t>
            </w: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名称</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住所</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tc>
        <w:tc>
          <w:tcPr>
            <w:tcW w:w="6930" w:type="dxa"/>
            <w:vAlign w:val="top"/>
          </w:tcPr>
          <w:p>
            <w:pPr>
              <w:pStyle w:val="0"/>
              <w:rPr>
                <w:rFonts w:hint="eastAsia" w:ascii="HGSｺﾞｼｯｸM" w:hAnsi="HGSｺﾞｼｯｸM" w:eastAsia="HGSｺﾞｼｯｸM"/>
                <w:sz w:val="24"/>
              </w:rPr>
            </w:pPr>
          </w:p>
        </w:tc>
      </w:tr>
      <w:tr>
        <w:trPr/>
        <w:tc>
          <w:tcPr>
            <w:tcW w:w="1260" w:type="dxa"/>
            <w:vMerge w:val="continue"/>
            <w:vAlign w:val="center"/>
          </w:tcPr>
          <w:p>
            <w:pPr>
              <w:pStyle w:val="0"/>
              <w:rPr>
                <w:rFonts w:hint="eastAsia"/>
              </w:rPr>
            </w:pPr>
          </w:p>
        </w:tc>
        <w:tc>
          <w:tcPr>
            <w:tcW w:w="12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FAX</w:t>
            </w:r>
            <w:r>
              <w:rPr>
                <w:rFonts w:hint="eastAsia" w:ascii="HGSｺﾞｼｯｸM" w:hAnsi="HGSｺﾞｼｯｸM" w:eastAsia="HGSｺﾞｼｯｸM"/>
                <w:sz w:val="24"/>
              </w:rPr>
              <w:t>番号</w:t>
            </w:r>
          </w:p>
        </w:tc>
        <w:tc>
          <w:tcPr>
            <w:tcW w:w="6930" w:type="dxa"/>
            <w:vAlign w:val="top"/>
          </w:tcPr>
          <w:p>
            <w:pPr>
              <w:pStyle w:val="0"/>
              <w:rPr>
                <w:rFonts w:hint="eastAsia" w:ascii="HGSｺﾞｼｯｸM" w:hAnsi="HGSｺﾞｼｯｸM" w:eastAsia="HGSｺﾞｼｯｸM"/>
                <w:sz w:val="24"/>
              </w:rPr>
            </w:pPr>
          </w:p>
        </w:tc>
      </w:tr>
    </w:tbl>
    <w:p>
      <w:pPr>
        <w:pStyle w:val="0"/>
        <w:spacing w:line="120" w:lineRule="exact"/>
        <w:rPr>
          <w:rFonts w:hint="eastAsia" w:ascii="HGSｺﾞｼｯｸM" w:hAnsi="HGSｺﾞｼｯｸM" w:eastAsia="HGSｺﾞｼｯｸM"/>
          <w:sz w:val="24"/>
        </w:rPr>
      </w:pPr>
    </w:p>
    <w:tbl>
      <w:tblPr>
        <w:tblStyle w:val="17"/>
        <w:tblW w:w="0" w:type="auto"/>
        <w:tblInd w:w="108" w:type="dxa"/>
        <w:tblLayout w:type="fixed"/>
        <w:tblLook w:firstRow="1" w:lastRow="0" w:firstColumn="1" w:lastColumn="0" w:noHBand="0" w:noVBand="1" w:val="04A0"/>
      </w:tblPr>
      <w:tblGrid>
        <w:gridCol w:w="3360"/>
        <w:gridCol w:w="6090"/>
      </w:tblGrid>
      <w:tr>
        <w:trPr/>
        <w:tc>
          <w:tcPr>
            <w:tcW w:w="336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担当する医療</w:t>
            </w:r>
          </w:p>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※該当するものに○を</w:t>
            </w:r>
          </w:p>
          <w:p>
            <w:pPr>
              <w:pStyle w:val="0"/>
              <w:jc w:val="center"/>
              <w:rPr>
                <w:rFonts w:hint="eastAsia" w:ascii="HGSｺﾞｼｯｸM" w:hAnsi="HGSｺﾞｼｯｸM" w:eastAsia="HGSｺﾞｼｯｸM"/>
                <w:sz w:val="24"/>
              </w:rPr>
            </w:pPr>
            <w:r>
              <w:rPr>
                <w:rFonts w:hint="eastAsia" w:ascii="HGSｺﾞｼｯｸM" w:hAnsi="HGSｺﾞｼｯｸM" w:eastAsia="HGSｺﾞｼｯｸM"/>
                <w:sz w:val="24"/>
              </w:rPr>
              <w:t>記入してください</w:t>
            </w:r>
          </w:p>
        </w:tc>
        <w:tc>
          <w:tcPr>
            <w:tcW w:w="6090" w:type="dxa"/>
            <w:vAlign w:val="center"/>
          </w:tcPr>
          <w:p>
            <w:pPr>
              <w:pStyle w:val="0"/>
              <w:jc w:val="center"/>
              <w:rPr>
                <w:rFonts w:hint="eastAsia" w:ascii="HGSｺﾞｼｯｸM" w:hAnsi="HGSｺﾞｼｯｸM" w:eastAsia="HGSｺﾞｼｯｸM"/>
                <w:sz w:val="24"/>
              </w:rPr>
            </w:pPr>
            <w:r>
              <w:rPr>
                <w:rFonts w:hint="eastAsia" w:ascii="HGSｺﾞｼｯｸM" w:hAnsi="HGSｺﾞｼｯｸM" w:eastAsia="HGSｺﾞｼｯｸM"/>
                <w:b w:val="1"/>
                <w:spacing w:val="1"/>
                <w:w w:val="73"/>
                <w:sz w:val="28"/>
              </w:rPr>
              <w:t>更生医療・育成医療　　　　精神通院医療　　　　両方</w:t>
            </w:r>
          </w:p>
        </w:tc>
      </w:tr>
    </w:tbl>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sz w:val="24"/>
        </w:rPr>
        <w:t>下記記入対象期間は、令和６年１月１日から令和６年</w:t>
      </w:r>
      <w:r>
        <w:rPr>
          <w:rFonts w:hint="eastAsia" w:ascii="HGSｺﾞｼｯｸM" w:hAnsi="HGSｺﾞｼｯｸM" w:eastAsia="HGSｺﾞｼｯｸM"/>
          <w:sz w:val="24"/>
        </w:rPr>
        <w:t>12</w:t>
      </w:r>
      <w:r>
        <w:rPr>
          <w:rFonts w:hint="eastAsia" w:ascii="HGSｺﾞｼｯｸM" w:hAnsi="HGSｺﾞｼｯｸM" w:eastAsia="HGSｺﾞｼｯｸM"/>
          <w:sz w:val="24"/>
        </w:rPr>
        <w:t>月</w:t>
      </w:r>
      <w:r>
        <w:rPr>
          <w:rFonts w:hint="eastAsia" w:ascii="HGSｺﾞｼｯｸM" w:hAnsi="HGSｺﾞｼｯｸM" w:eastAsia="HGSｺﾞｼｯｸM"/>
          <w:sz w:val="24"/>
        </w:rPr>
        <w:t>31</w:t>
      </w:r>
      <w:r>
        <w:rPr>
          <w:rFonts w:hint="eastAsia" w:ascii="HGSｺﾞｼｯｸM" w:hAnsi="HGSｺﾞｼｯｸM" w:eastAsia="HGSｺﾞｼｯｸM"/>
          <w:sz w:val="24"/>
        </w:rPr>
        <w:t>日の１年間です。</w:t>
      </w:r>
    </w:p>
    <w:p>
      <w:pPr>
        <w:pStyle w:val="0"/>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p>
    <w:p>
      <w:pPr>
        <w:pStyle w:val="0"/>
        <w:spacing w:line="120" w:lineRule="exact"/>
        <w:rPr>
          <w:rFonts w:hint="eastAsia" w:ascii="HGSｺﾞｼｯｸM" w:hAnsi="HGSｺﾞｼｯｸM" w:eastAsia="HGSｺﾞｼｯｸM"/>
          <w:sz w:val="24"/>
        </w:rPr>
      </w:pPr>
    </w:p>
    <w:p>
      <w:pPr>
        <w:pStyle w:val="0"/>
        <w:rPr>
          <w:rFonts w:hint="eastAsia" w:ascii="HGSｺﾞｼｯｸM" w:hAnsi="HGSｺﾞｼｯｸM" w:eastAsia="HGSｺﾞｼｯｸM"/>
          <w:sz w:val="24"/>
        </w:rPr>
      </w:pPr>
      <w:r>
        <w:rPr>
          <w:rFonts w:hint="eastAsia" w:ascii="HGSｺﾞｼｯｸM" w:hAnsi="HGSｺﾞｼｯｸM" w:eastAsia="HGSｺﾞｼｯｸM"/>
          <w:b w:val="1"/>
          <w:sz w:val="24"/>
        </w:rPr>
        <w:t>１　　自立支援医療の利用者数</w:t>
      </w:r>
    </w:p>
    <w:tbl>
      <w:tblPr>
        <w:tblStyle w:val="17"/>
        <w:tblpPr w:leftFromText="142" w:rightFromText="142" w:topFromText="0" w:bottomFromText="0" w:vertAnchor="text" w:horzAnchor="text" w:tblpX="7304" w:tblpY="38"/>
        <w:tblW w:w="0" w:type="auto"/>
        <w:tblLayout w:type="fixed"/>
        <w:tblLook w:firstRow="1" w:lastRow="0" w:firstColumn="1" w:lastColumn="0" w:noHBand="0" w:noVBand="1" w:val="04A0"/>
      </w:tblPr>
      <w:tblGrid>
        <w:gridCol w:w="1415"/>
        <w:gridCol w:w="475"/>
      </w:tblGrid>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r>
        <w:trPr/>
        <w:tc>
          <w:tcPr>
            <w:tcW w:w="1415" w:type="dxa"/>
            <w:vAlign w:val="top"/>
          </w:tcPr>
          <w:p>
            <w:pPr>
              <w:pStyle w:val="0"/>
              <w:rPr>
                <w:rFonts w:hint="eastAsia" w:ascii="HGｺﾞｼｯｸM" w:hAnsi="HGｺﾞｼｯｸM" w:eastAsia="HGｺﾞｼｯｸM"/>
              </w:rPr>
            </w:pPr>
          </w:p>
        </w:tc>
        <w:tc>
          <w:tcPr>
            <w:tcW w:w="475"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HGｺﾞｼｯｸM" w:hAnsi="HGｺﾞｼｯｸM" w:eastAsia="HGｺﾞｼｯｸM"/>
              </w:rPr>
            </w:pPr>
            <w:r>
              <w:rPr>
                <w:rFonts w:hint="eastAsia" w:ascii="HGｺﾞｼｯｸM" w:hAnsi="HGｺﾞｼｯｸM" w:eastAsia="HGｺﾞｼｯｸM"/>
              </w:rPr>
              <w:t>人</w:t>
            </w:r>
          </w:p>
        </w:tc>
      </w:tr>
    </w:tbl>
    <w:p>
      <w:pPr>
        <w:pStyle w:val="0"/>
        <w:rPr>
          <w:rFonts w:hint="eastAsia" w:ascii="HGｺﾞｼｯｸM" w:hAnsi="HGｺﾞｼｯｸM" w:eastAsia="HGｺﾞｼｯｸM"/>
          <w:sz w:val="24"/>
        </w:rPr>
      </w:pPr>
      <w:r>
        <w:rPr>
          <w:rFonts w:hint="eastAsia" w:ascii="HGｺﾞｼｯｸM" w:hAnsi="HGｺﾞｼｯｸM" w:eastAsia="HGｺﾞｼｯｸM"/>
          <w:sz w:val="24"/>
        </w:rPr>
        <w:t>　　　　自立支援医療利用した実人数</w:t>
      </w:r>
    </w:p>
    <w:p>
      <w:pPr>
        <w:pStyle w:val="0"/>
        <w:ind w:firstLine="2160" w:firstLineChars="900"/>
        <w:rPr>
          <w:rFonts w:hint="eastAsia" w:ascii="HGｺﾞｼｯｸM" w:hAnsi="HGｺﾞｼｯｸM" w:eastAsia="HGｺﾞｼｯｸM"/>
          <w:sz w:val="24"/>
        </w:rPr>
      </w:pPr>
      <w:r>
        <w:rPr>
          <w:rFonts w:hint="eastAsia" w:ascii="HGｺﾞｼｯｸM" w:hAnsi="HGｺﾞｼｯｸM" w:eastAsia="HGｺﾞｼｯｸM"/>
          <w:sz w:val="24"/>
        </w:rPr>
        <w:t>うち、更生医療・育成医療を利用した実人数</w:t>
      </w:r>
    </w:p>
    <w:p>
      <w:pPr>
        <w:pStyle w:val="0"/>
        <w:ind w:left="0" w:leftChars="0" w:firstLine="2160" w:firstLineChars="900"/>
        <w:rPr>
          <w:rFonts w:hint="eastAsia" w:ascii="HGｺﾞｼｯｸM" w:hAnsi="HGｺﾞｼｯｸM" w:eastAsia="HGｺﾞｼｯｸM"/>
          <w:sz w:val="24"/>
        </w:rPr>
      </w:pPr>
      <w:r>
        <w:rPr>
          <w:rFonts w:hint="eastAsia" w:ascii="HGｺﾞｼｯｸM" w:hAnsi="HGｺﾞｼｯｸM" w:eastAsia="HGｺﾞｼｯｸM"/>
          <w:sz w:val="24"/>
        </w:rPr>
        <w:t>うち、精神通院医療を利用した実人数</w:t>
      </w:r>
    </w:p>
    <w:p>
      <w:pPr>
        <w:pStyle w:val="0"/>
        <w:spacing w:line="160" w:lineRule="exact"/>
        <w:rPr>
          <w:rFonts w:hint="eastAsia" w:ascii="HGｺﾞｼｯｸM" w:hAnsi="HGｺﾞｼｯｸM" w:eastAsia="HGｺﾞｼｯｸM"/>
          <w:sz w:val="24"/>
        </w:rPr>
      </w:pPr>
    </w:p>
    <w:p>
      <w:pPr>
        <w:pStyle w:val="0"/>
        <w:ind w:leftChars="0" w:firstLine="0" w:firstLineChars="0"/>
        <w:jc w:val="left"/>
        <w:rPr>
          <w:rFonts w:hint="eastAsia" w:ascii="HGｺﾞｼｯｸM" w:hAnsi="HGｺﾞｼｯｸM" w:eastAsia="HGｺﾞｼｯｸM"/>
          <w:sz w:val="24"/>
        </w:rPr>
      </w:pPr>
    </w:p>
    <w:p>
      <w:pPr>
        <w:pStyle w:val="0"/>
        <w:ind w:firstLine="630" w:firstLineChars="300"/>
        <w:rPr>
          <w:rFonts w:hint="eastAsia" w:ascii="HGSｺﾞｼｯｸM" w:hAnsi="HGSｺﾞｼｯｸM" w:eastAsia="HGSｺﾞｼｯｸM"/>
          <w:sz w:val="24"/>
        </w:rPr>
      </w:pPr>
    </w:p>
    <w:p>
      <w:pPr>
        <w:pStyle w:val="0"/>
        <w:ind w:firstLine="630" w:firstLineChars="300"/>
        <w:rPr>
          <w:rFonts w:hint="eastAsia" w:ascii="HGSｺﾞｼｯｸM" w:hAnsi="HGSｺﾞｼｯｸM" w:eastAsia="HGSｺﾞｼｯｸM"/>
          <w:sz w:val="24"/>
        </w:rPr>
      </w:pPr>
    </w:p>
    <w:p>
      <w:pPr>
        <w:pStyle w:val="0"/>
        <w:ind w:leftChars="0" w:firstLine="0" w:firstLineChars="0"/>
        <w:rPr>
          <w:rFonts w:hint="eastAsia" w:ascii="HGSｺﾞｼｯｸM" w:hAnsi="HGSｺﾞｼｯｸM" w:eastAsia="HGSｺﾞｼｯｸM"/>
          <w:sz w:val="24"/>
        </w:rPr>
      </w:pPr>
    </w:p>
    <w:p>
      <w:pPr>
        <w:pStyle w:val="0"/>
        <w:ind w:leftChars="0" w:firstLine="0" w:firstLineChars="0"/>
        <w:rPr>
          <w:rFonts w:hint="eastAsia" w:ascii="HGSｺﾞｼｯｸM" w:hAnsi="HGSｺﾞｼｯｸM" w:eastAsia="HGSｺﾞｼｯｸM"/>
          <w:sz w:val="24"/>
        </w:rPr>
      </w:pPr>
    </w:p>
    <w:p>
      <w:pPr>
        <w:pStyle w:val="0"/>
        <w:ind w:lef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上記の記載事項は、事実に相違ありませんので、障害者の日常生活及び社会生活を総合的に支援するための法律第</w:t>
      </w:r>
      <w:r>
        <w:rPr>
          <w:rFonts w:hint="eastAsia" w:ascii="HGSｺﾞｼｯｸM" w:hAnsi="HGSｺﾞｼｯｸM" w:eastAsia="HGSｺﾞｼｯｸM"/>
          <w:sz w:val="24"/>
        </w:rPr>
        <w:t>66</w:t>
      </w:r>
      <w:r>
        <w:rPr>
          <w:rFonts w:hint="eastAsia" w:ascii="HGSｺﾞｼｯｸM" w:hAnsi="HGSｺﾞｼｯｸM" w:eastAsia="HGSｺﾞｼｯｸM"/>
          <w:sz w:val="24"/>
        </w:rPr>
        <w:t>条の規定に基づき報告します。</w:t>
      </w:r>
    </w:p>
    <w:p>
      <w:pPr>
        <w:pStyle w:val="0"/>
        <w:ind w:leftChars="0" w:firstLine="0" w:firstLineChars="0"/>
        <w:rPr>
          <w:rFonts w:hint="eastAsia" w:ascii="HGSｺﾞｼｯｸM" w:hAnsi="HGSｺﾞｼｯｸM" w:eastAsia="HGSｺﾞｼｯｸM"/>
          <w:sz w:val="24"/>
        </w:rPr>
      </w:pPr>
    </w:p>
    <w:p>
      <w:pPr>
        <w:pStyle w:val="0"/>
        <w:spacing w:line="120" w:lineRule="exact"/>
        <w:ind w:leftChars="0" w:firstLine="0" w:firstLineChars="0"/>
        <w:rPr>
          <w:rFonts w:hint="eastAsia" w:ascii="HGSｺﾞｼｯｸM" w:hAnsi="HGSｺﾞｼｯｸM" w:eastAsia="HGSｺﾞｼｯｸM"/>
          <w:sz w:val="24"/>
        </w:rPr>
      </w:pPr>
    </w:p>
    <w:p>
      <w:pPr>
        <w:pStyle w:val="0"/>
        <w:ind w:left="0" w:leftChars="0" w:right="840" w:rightChars="400" w:firstLine="0" w:firstLineChars="0"/>
        <w:jc w:val="right"/>
        <w:rPr>
          <w:rFonts w:hint="eastAsia" w:ascii="HGSｺﾞｼｯｸM" w:hAnsi="HGSｺﾞｼｯｸM" w:eastAsia="HGSｺﾞｼｯｸM"/>
          <w:sz w:val="24"/>
        </w:rPr>
      </w:pPr>
      <w:r>
        <w:rPr>
          <w:rFonts w:hint="eastAsia" w:ascii="HGSｺﾞｼｯｸM" w:hAnsi="HGSｺﾞｼｯｸM" w:eastAsia="HGSｺﾞｼｯｸM"/>
          <w:sz w:val="24"/>
        </w:rPr>
        <w:t>令和　年　月　日</w:t>
      </w:r>
    </w:p>
    <w:p>
      <w:pPr>
        <w:pStyle w:val="0"/>
        <w:ind w:left="0" w:leftChars="0" w:firstLine="1890" w:firstLineChars="900"/>
        <w:rPr>
          <w:rFonts w:hint="eastAsia" w:ascii="HGSｺﾞｼｯｸM" w:hAnsi="HGSｺﾞｼｯｸM" w:eastAsia="HGSｺﾞｼｯｸM"/>
          <w:sz w:val="24"/>
        </w:rPr>
      </w:pPr>
      <w:r>
        <w:rPr>
          <w:rFonts w:hint="eastAsia" w:ascii="HGSｺﾞｼｯｸM" w:hAnsi="HGSｺﾞｼｯｸM" w:eastAsia="HGSｺﾞｼｯｸM"/>
          <w:sz w:val="24"/>
        </w:rPr>
        <w:t>医療機関の開設者</w:t>
      </w:r>
    </w:p>
    <w:p>
      <w:pPr>
        <w:pStyle w:val="0"/>
        <w:ind w:left="0" w:leftChars="0" w:firstLine="2730" w:firstLineChars="1300"/>
        <w:rPr>
          <w:rFonts w:hint="eastAsia" w:ascii="HGSｺﾞｼｯｸM" w:hAnsi="HGSｺﾞｼｯｸM" w:eastAsia="HGSｺﾞｼｯｸM"/>
          <w:sz w:val="24"/>
        </w:rPr>
      </w:pPr>
      <w:r>
        <w:rPr>
          <w:rFonts w:hint="eastAsia" w:ascii="HGSｺﾞｼｯｸM" w:hAnsi="HGSｺﾞｼｯｸM" w:eastAsia="HGSｺﾞｼｯｸM"/>
          <w:sz w:val="24"/>
        </w:rPr>
        <w:t>住　　所</w:t>
      </w:r>
    </w:p>
    <w:p>
      <w:pPr>
        <w:pStyle w:val="0"/>
        <w:spacing w:after="180" w:afterLines="50" w:afterAutospacing="0"/>
        <w:ind w:left="0" w:leftChars="0" w:firstLine="2520" w:firstLineChars="1200"/>
        <w:rPr>
          <w:rFonts w:hint="eastAsia" w:ascii="HGSｺﾞｼｯｸM" w:hAnsi="HGSｺﾞｼｯｸM" w:eastAsia="HGSｺﾞｼｯｸM"/>
          <w:sz w:val="24"/>
        </w:rPr>
      </w:pPr>
      <w:r>
        <w:rPr>
          <w:rFonts w:hint="eastAsia" w:ascii="HGSｺﾞｼｯｸM" w:hAnsi="HGSｺﾞｼｯｸM" w:eastAsia="HGSｺﾞｼｯｸM"/>
          <w:sz w:val="24"/>
        </w:rPr>
        <w:t>（電話番号）</w:t>
      </w:r>
    </w:p>
    <w:p>
      <w:pPr>
        <w:pStyle w:val="0"/>
        <w:ind w:left="0" w:leftChars="0" w:firstLine="2730" w:firstLineChars="1300"/>
        <w:rPr>
          <w:rFonts w:hint="eastAsia" w:asciiTheme="minorEastAsia" w:hAnsiTheme="minorEastAsia" w:eastAsiaTheme="minorEastAsia"/>
        </w:rPr>
      </w:pPr>
      <w:r>
        <w:rPr>
          <w:rFonts w:hint="eastAsia" w:ascii="HGSｺﾞｼｯｸM" w:hAnsi="HGSｺﾞｼｯｸM" w:eastAsia="HGSｺﾞｼｯｸM"/>
          <w:sz w:val="24"/>
        </w:rPr>
        <w:t>氏　　名</w:t>
      </w:r>
      <w:r>
        <w:rPr>
          <w:rFonts w:hint="eastAsia" w:asciiTheme="minorEastAsia" w:hAnsiTheme="minorEastAsia" w:eastAsiaTheme="minorEastAsia"/>
        </w:rPr>
        <w:t>　</w:t>
      </w:r>
      <w:r>
        <w:rPr>
          <w:rFonts w:hint="eastAsia"/>
        </w:rPr>
        <w:br w:type="page"/>
      </w:r>
    </w:p>
    <w:p>
      <w:pPr>
        <w:pStyle w:val="0"/>
        <w:autoSpaceDE w:val="0"/>
        <w:autoSpaceDN w:val="0"/>
        <w:adjustRightInd w:val="0"/>
        <w:jc w:val="center"/>
        <w:rPr>
          <w:rFonts w:hint="eastAsia" w:ascii="HGPｺﾞｼｯｸM" w:hAnsi="HGPｺﾞｼｯｸM" w:eastAsia="HGPｺﾞｼｯｸM"/>
          <w:b w:val="1"/>
          <w:kern w:val="0"/>
          <w:sz w:val="28"/>
        </w:rPr>
      </w:pPr>
      <w:r>
        <w:rPr>
          <w:rFonts w:hint="eastAsia" w:ascii="HGPｺﾞｼｯｸM" w:hAnsi="HGPｺﾞｼｯｸM" w:eastAsia="HGPｺﾞｼｯｸM"/>
          <w:b w:val="1"/>
          <w:spacing w:val="0"/>
          <w:w w:val="88"/>
          <w:kern w:val="0"/>
          <w:sz w:val="28"/>
          <w:fitText w:val="9240" w:id="2"/>
        </w:rPr>
        <w:t>指定自立支援医療機関（更生・育成医療、精神通院医療）療養担当規程実施状況点検</w:t>
      </w:r>
      <w:r>
        <w:rPr>
          <w:rFonts w:hint="eastAsia" w:ascii="HGPｺﾞｼｯｸM" w:hAnsi="HGPｺﾞｼｯｸM" w:eastAsia="HGPｺﾞｼｯｸM"/>
          <w:b w:val="1"/>
          <w:spacing w:val="5"/>
          <w:w w:val="88"/>
          <w:kern w:val="0"/>
          <w:sz w:val="28"/>
          <w:fitText w:val="9240" w:id="2"/>
        </w:rPr>
        <w:t>表</w:t>
      </w:r>
    </w:p>
    <w:p>
      <w:pPr>
        <w:pStyle w:val="0"/>
        <w:autoSpaceDE w:val="0"/>
        <w:autoSpaceDN w:val="0"/>
        <w:adjustRightInd w:val="0"/>
        <w:rPr>
          <w:rFonts w:hint="eastAsia" w:ascii="HGPｺﾞｼｯｸM" w:hAnsi="HGPｺﾞｼｯｸM" w:eastAsia="HGPｺﾞｼｯｸM"/>
          <w:kern w:val="0"/>
          <w:sz w:val="24"/>
        </w:rPr>
      </w:pPr>
    </w:p>
    <w:p>
      <w:pPr>
        <w:pStyle w:val="0"/>
        <w:autoSpaceDE w:val="0"/>
        <w:autoSpaceDN w:val="0"/>
        <w:adjustRightInd w:val="0"/>
        <w:ind w:firstLine="240" w:firstLineChars="100"/>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指定自立支援医療機関（更生・育成医療、精神通院医療）療養担当規程の実施状況について、御回答ください。（該当する項目の□にチェックを入れてください。「その他」を選択した場合は内容を記入してください。）</w:t>
      </w:r>
    </w:p>
    <w:p>
      <w:pPr>
        <w:pStyle w:val="0"/>
        <w:autoSpaceDE w:val="0"/>
        <w:autoSpaceDN w:val="0"/>
        <w:adjustRightInd w:val="0"/>
        <w:ind w:leftChars="0" w:firstLine="0" w:firstLineChars="0"/>
        <w:rPr>
          <w:rFonts w:hint="eastAsia" w:ascii="HGPｺﾞｼｯｸM" w:hAnsi="HGPｺﾞｼｯｸM" w:eastAsia="HGPｺﾞｼｯｸM"/>
          <w:kern w:val="0"/>
          <w:sz w:val="24"/>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4845050</wp:posOffset>
                </wp:positionH>
                <wp:positionV relativeFrom="paragraph">
                  <wp:posOffset>8218170</wp:posOffset>
                </wp:positionV>
                <wp:extent cx="1402080" cy="33528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02080" cy="3352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sz w:val="24"/>
                              </w:rPr>
                              <w:t>裏面に続きます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47.1pt;mso-position-vertical-relative:text;mso-position-horizontal-relative:text;position:absolute;height:26.4pt;mso-wrap-distance-top:0pt;width:110.4pt;mso-wrap-distance-left:16pt;margin-left:381.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sz w:val="24"/>
                        </w:rPr>
                        <w:t>裏面に続きます</w:t>
                      </w:r>
                    </w:p>
                  </w:txbxContent>
                </v:textbox>
                <v:imagedata o:title=""/>
                <w10:wrap type="none" anchorx="text" anchory="text"/>
                <w10:anchorlock/>
              </v:shape>
            </w:pict>
          </mc:Fallback>
        </mc:AlternateContent>
      </w:r>
    </w:p>
    <w:tbl>
      <w:tblPr>
        <w:tblStyle w:val="11"/>
        <w:tblW w:w="97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522"/>
        <w:gridCol w:w="2726"/>
        <w:gridCol w:w="2160"/>
        <w:gridCol w:w="3391"/>
      </w:tblGrid>
      <w:tr>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関連条文</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確認事項</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実施状況</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kern w:val="0"/>
                <w:sz w:val="24"/>
              </w:rPr>
              <w:t>☑</w:t>
            </w:r>
            <w:r>
              <w:rPr>
                <w:rFonts w:hint="eastAsia" w:ascii="HGPｺﾞｼｯｸM" w:hAnsi="HGPｺﾞｼｯｸM" w:eastAsia="HGPｺﾞｼｯｸM"/>
                <w:kern w:val="0"/>
                <w:sz w:val="24"/>
              </w:rPr>
              <w:t>適の場合に回答ください。</w:t>
            </w:r>
          </w:p>
        </w:tc>
      </w:tr>
      <w:tr>
        <w:trPr>
          <w:trHeight w:val="1250"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共通：第２条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受診者の訪問看護を正当な理由なく拒んでいないか。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
                <w:w w:val="97"/>
                <w:kern w:val="0"/>
                <w:sz w:val="24"/>
                <w:fitText w:val="1440" w:id="3"/>
              </w:rPr>
              <w:t>(</w:t>
            </w:r>
            <w:r>
              <w:rPr>
                <w:rFonts w:hint="eastAsia" w:ascii="HGPｺﾞｼｯｸM" w:hAnsi="HGPｺﾞｼｯｸM" w:eastAsia="HGPｺﾞｼｯｸM"/>
                <w:spacing w:val="1"/>
                <w:w w:val="97"/>
                <w:kern w:val="0"/>
                <w:sz w:val="24"/>
                <w:fitText w:val="1440" w:id="3"/>
              </w:rPr>
              <w:t>拒んでいない</w:t>
            </w:r>
            <w:r>
              <w:rPr>
                <w:rFonts w:hint="eastAsia" w:ascii="HGPｺﾞｼｯｸM" w:hAnsi="HGPｺﾞｼｯｸM" w:eastAsia="HGPｺﾞｼｯｸM"/>
                <w:spacing w:val="6"/>
                <w:w w:val="97"/>
                <w:kern w:val="0"/>
                <w:sz w:val="24"/>
                <w:fitText w:val="1440" w:id="3"/>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1"/>
                <w:w w:val="79"/>
                <w:kern w:val="0"/>
                <w:sz w:val="24"/>
                <w:fitText w:val="1440" w:id="4"/>
              </w:rPr>
              <w:t>(</w:t>
            </w:r>
            <w:r>
              <w:rPr>
                <w:rFonts w:hint="eastAsia" w:ascii="HGPｺﾞｼｯｸM" w:hAnsi="HGPｺﾞｼｯｸM" w:eastAsia="HGPｺﾞｼｯｸM"/>
                <w:spacing w:val="1"/>
                <w:w w:val="79"/>
                <w:kern w:val="0"/>
                <w:sz w:val="24"/>
                <w:fitText w:val="1440" w:id="4"/>
              </w:rPr>
              <w:t>拒んだことがある</w:t>
            </w:r>
            <w:r>
              <w:rPr>
                <w:rFonts w:hint="eastAsia" w:ascii="HGPｺﾞｼｯｸM" w:hAnsi="HGPｺﾞｼｯｸM" w:eastAsia="HGPｺﾞｼｯｸM"/>
                <w:spacing w:val="8"/>
                <w:w w:val="79"/>
                <w:kern w:val="0"/>
                <w:sz w:val="24"/>
                <w:fitText w:val="1440" w:id="4"/>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982" w:hRule="atLeast"/>
        </w:trPr>
        <w:tc>
          <w:tcPr>
            <w:tcW w:w="152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共通：第３条</w:t>
            </w:r>
          </w:p>
        </w:tc>
        <w:tc>
          <w:tcPr>
            <w:tcW w:w="272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医療受給者証が有効であることを確かめた後で訪問看護を行っているか。</w:t>
            </w:r>
          </w:p>
        </w:tc>
        <w:tc>
          <w:tcPr>
            <w:tcW w:w="21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5"/>
                <w:w w:val="89"/>
                <w:kern w:val="0"/>
                <w:sz w:val="24"/>
                <w:fitText w:val="1440" w:id="5"/>
              </w:rPr>
              <w:t>(</w:t>
            </w:r>
            <w:r>
              <w:rPr>
                <w:rFonts w:hint="eastAsia" w:ascii="HGPｺﾞｼｯｸM" w:hAnsi="HGPｺﾞｼｯｸM" w:eastAsia="HGPｺﾞｼｯｸM"/>
                <w:spacing w:val="15"/>
                <w:kern w:val="0"/>
                <w:sz w:val="24"/>
                <w:fitText w:val="1440" w:id="5"/>
              </w:rPr>
              <w:t>確</w:t>
            </w:r>
            <w:r>
              <w:rPr>
                <w:rFonts w:hint="eastAsia" w:ascii="HGPｺﾞｼｯｸM" w:hAnsi="HGPｺﾞｼｯｸM" w:eastAsia="HGPｺﾞｼｯｸM"/>
                <w:spacing w:val="15"/>
                <w:w w:val="89"/>
                <w:kern w:val="0"/>
                <w:sz w:val="24"/>
                <w:fitText w:val="1440" w:id="5"/>
              </w:rPr>
              <w:t>かめている</w:t>
            </w:r>
            <w:r>
              <w:rPr>
                <w:rFonts w:hint="eastAsia" w:ascii="HGPｺﾞｼｯｸM" w:hAnsi="HGPｺﾞｼｯｸM" w:eastAsia="HGPｺﾞｼｯｸM"/>
                <w:spacing w:val="0"/>
                <w:w w:val="89"/>
                <w:kern w:val="0"/>
                <w:sz w:val="24"/>
                <w:fitText w:val="1440" w:id="5"/>
              </w:rPr>
              <w:t>)</w:t>
            </w:r>
            <w:r>
              <w:rPr>
                <w:rFonts w:hint="eastAsia" w:ascii="HGPｺﾞｼｯｸM" w:hAnsi="HGPｺﾞｼｯｸM" w:eastAsia="HGPｺﾞｼｯｸM"/>
                <w:kern w:val="0"/>
                <w:sz w:val="24"/>
              </w:rPr>
              <w:t>　　</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7"/>
                <w:w w:val="78"/>
                <w:kern w:val="0"/>
                <w:sz w:val="24"/>
                <w:fitText w:val="1440" w:id="6"/>
              </w:rPr>
              <w:t>(</w:t>
            </w:r>
            <w:r>
              <w:rPr>
                <w:rFonts w:hint="eastAsia" w:ascii="HGPｺﾞｼｯｸM" w:hAnsi="HGPｺﾞｼｯｸM" w:eastAsia="HGPｺﾞｼｯｸM"/>
                <w:spacing w:val="7"/>
                <w:kern w:val="0"/>
                <w:sz w:val="24"/>
                <w:fitText w:val="1440" w:id="6"/>
              </w:rPr>
              <w:t>確</w:t>
            </w:r>
            <w:r>
              <w:rPr>
                <w:rFonts w:hint="eastAsia" w:ascii="HGPｺﾞｼｯｸM" w:hAnsi="HGPｺﾞｼｯｸM" w:eastAsia="HGPｺﾞｼｯｸM"/>
                <w:spacing w:val="7"/>
                <w:w w:val="78"/>
                <w:kern w:val="0"/>
                <w:sz w:val="24"/>
                <w:fitText w:val="1440" w:id="6"/>
              </w:rPr>
              <w:t>かめていない</w:t>
            </w:r>
            <w:r>
              <w:rPr>
                <w:rFonts w:hint="eastAsia" w:ascii="HGPｺﾞｼｯｸM" w:hAnsi="HGPｺﾞｼｯｸM" w:eastAsia="HGPｺﾞｼｯｸM"/>
                <w:spacing w:val="8"/>
                <w:w w:val="78"/>
                <w:kern w:val="0"/>
                <w:sz w:val="24"/>
                <w:fitText w:val="1440" w:id="6"/>
              </w:rPr>
              <w:t>)</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医療受給者証の確認頻度は？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毎回</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月に１回</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年に</w:t>
            </w:r>
            <w:r>
              <w:rPr>
                <w:rFonts w:hint="eastAsia" w:ascii="HGPｺﾞｼｯｸM" w:hAnsi="HGPｺﾞｼｯｸM" w:eastAsia="HGPｺﾞｼｯｸM"/>
                <w:kern w:val="0"/>
                <w:sz w:val="24"/>
              </w:rPr>
              <w:t>1</w:t>
            </w:r>
            <w:r>
              <w:rPr>
                <w:rFonts w:hint="eastAsia" w:ascii="HGPｺﾞｼｯｸM" w:hAnsi="HGPｺﾞｼｯｸM" w:eastAsia="HGPｺﾞｼｯｸM"/>
                <w:kern w:val="0"/>
                <w:sz w:val="24"/>
              </w:rPr>
              <w:t>回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その他（　　　　　　　　　　　）</w:t>
            </w:r>
          </w:p>
        </w:tc>
      </w:tr>
      <w:tr>
        <w:trPr>
          <w:trHeight w:val="1981" w:hRule="atLeast"/>
        </w:trPr>
        <w:tc>
          <w:tcPr>
            <w:tcW w:w="152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272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医療受給者証の記録保存は？</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医療受給者証の写しを保管　　　　</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医療受給者証の記載事項をデータ入力（患者ファイル等への記入を含む）</w:t>
            </w:r>
          </w:p>
          <w:p>
            <w:pPr>
              <w:pStyle w:val="0"/>
              <w:widowControl w:val="0"/>
              <w:numPr>
                <w:ilvl w:val="0"/>
                <w:numId w:val="1"/>
              </w:numPr>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特にしていない</w:t>
            </w:r>
          </w:p>
        </w:tc>
      </w:tr>
      <w:tr>
        <w:trPr>
          <w:trHeight w:val="1981"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HGPｺﾞｼｯｸM" w:hAnsi="HGPｺﾞｼｯｸM" w:eastAsia="HGPｺﾞｼｯｸM"/>
                <w:kern w:val="0"/>
                <w:sz w:val="24"/>
              </w:rPr>
              <w:t>共通：第３条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ascii="HGPｺﾞｼｯｸM" w:hAnsi="HGPｺﾞｼｯｸM" w:eastAsia="HGPｺﾞｼｯｸM"/>
                <w:sz w:val="24"/>
              </w:rPr>
              <w:t>医療受給者証に記載された医療の具体的方針により訪問看護を行っているか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60"/>
                <w:w w:val="80"/>
                <w:kern w:val="0"/>
                <w:sz w:val="24"/>
                <w:fitText w:val="1440" w:id="7"/>
              </w:rPr>
              <w:t>(</w:t>
            </w:r>
            <w:r>
              <w:rPr>
                <w:rFonts w:hint="eastAsia" w:ascii="HGPｺﾞｼｯｸM" w:hAnsi="HGPｺﾞｼｯｸM" w:eastAsia="HGPｺﾞｼｯｸM"/>
                <w:spacing w:val="60"/>
                <w:kern w:val="0"/>
                <w:sz w:val="24"/>
                <w:fitText w:val="1440" w:id="7"/>
              </w:rPr>
              <w:t>行</w:t>
            </w:r>
            <w:r>
              <w:rPr>
                <w:rFonts w:hint="eastAsia" w:ascii="HGPｺﾞｼｯｸM" w:hAnsi="HGPｺﾞｼｯｸM" w:eastAsia="HGPｺﾞｼｯｸM"/>
                <w:spacing w:val="60"/>
                <w:w w:val="80"/>
                <w:kern w:val="0"/>
                <w:sz w:val="24"/>
                <w:fitText w:val="1440" w:id="7"/>
              </w:rPr>
              <w:t>っている</w:t>
            </w:r>
            <w:r>
              <w:rPr>
                <w:rFonts w:hint="eastAsia" w:ascii="HGPｺﾞｼｯｸM" w:hAnsi="HGPｺﾞｼｯｸM" w:eastAsia="HGPｺﾞｼｯｸM"/>
                <w:spacing w:val="5"/>
                <w:w w:val="80"/>
                <w:kern w:val="0"/>
                <w:sz w:val="24"/>
                <w:fitText w:val="1440" w:id="7"/>
              </w:rPr>
              <w:t>)</w:t>
            </w: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widowControl w:val="0"/>
              <w:autoSpaceDE w:val="0"/>
              <w:autoSpaceDN w:val="0"/>
              <w:adjustRightInd w:val="0"/>
              <w:jc w:val="left"/>
              <w:rPr>
                <w:rFonts w:hint="eastAsia" w:ascii="HGPｺﾞｼｯｸM" w:hAnsi="HGPｺﾞｼｯｸM" w:eastAsia="HGPｺﾞｼｯｸM"/>
                <w:kern w:val="0"/>
                <w:sz w:val="24"/>
              </w:rPr>
            </w:pPr>
          </w:p>
          <w:p>
            <w:pPr>
              <w:pStyle w:val="0"/>
              <w:rPr>
                <w:rFonts w:hint="eastAsia"/>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33"/>
                <w:w w:val="78"/>
                <w:kern w:val="0"/>
                <w:sz w:val="24"/>
                <w:fitText w:val="1440" w:id="8"/>
              </w:rPr>
              <w:t>(</w:t>
            </w:r>
            <w:r>
              <w:rPr>
                <w:rFonts w:hint="eastAsia" w:ascii="HGPｺﾞｼｯｸM" w:hAnsi="HGPｺﾞｼｯｸM" w:eastAsia="HGPｺﾞｼｯｸM"/>
                <w:spacing w:val="33"/>
                <w:kern w:val="0"/>
                <w:sz w:val="24"/>
                <w:fitText w:val="1440" w:id="8"/>
              </w:rPr>
              <w:t>行</w:t>
            </w:r>
            <w:r>
              <w:rPr>
                <w:rFonts w:hint="eastAsia" w:ascii="HGPｺﾞｼｯｸM" w:hAnsi="HGPｺﾞｼｯｸM" w:eastAsia="HGPｺﾞｼｯｸM"/>
                <w:spacing w:val="33"/>
                <w:w w:val="78"/>
                <w:kern w:val="0"/>
                <w:sz w:val="24"/>
                <w:fitText w:val="1440" w:id="8"/>
              </w:rPr>
              <w:t>っていない</w:t>
            </w:r>
            <w:r>
              <w:rPr>
                <w:rFonts w:hint="eastAsia" w:ascii="HGPｺﾞｼｯｸM" w:hAnsi="HGPｺﾞｼｯｸM" w:eastAsia="HGPｺﾞｼｯｸM"/>
                <w:spacing w:val="0"/>
                <w:w w:val="78"/>
                <w:kern w:val="0"/>
                <w:sz w:val="24"/>
                <w:fitText w:val="1440" w:id="8"/>
              </w:rPr>
              <w:t>)</w:t>
            </w:r>
          </w:p>
        </w:tc>
        <w:tc>
          <w:tcPr>
            <w:tcW w:w="33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2648"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共通：第４条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受診者が、やむを得ない事情により、医療機関が定めた診療時間に訪問看護を受けることができないときは、その者のために便宜な時間を定めて訪問看護を実施しているか。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9"/>
              </w:rPr>
              <w:t>(</w:t>
            </w:r>
            <w:r>
              <w:rPr>
                <w:rFonts w:hint="eastAsia" w:ascii="HGPｺﾞｼｯｸM" w:hAnsi="HGPｺﾞｼｯｸM" w:eastAsia="HGPｺﾞｼｯｸM"/>
                <w:spacing w:val="120"/>
                <w:w w:val="89"/>
                <w:kern w:val="0"/>
                <w:sz w:val="24"/>
                <w:fitText w:val="1440" w:id="9"/>
              </w:rPr>
              <w:t>している</w:t>
            </w:r>
            <w:r>
              <w:rPr>
                <w:rFonts w:hint="eastAsia" w:ascii="HGPｺﾞｼｯｸM" w:hAnsi="HGPｺﾞｼｯｸM" w:eastAsia="HGPｺﾞｼｯｸM"/>
                <w:spacing w:val="1"/>
                <w:w w:val="89"/>
                <w:kern w:val="0"/>
                <w:sz w:val="24"/>
                <w:fitText w:val="1440" w:id="9"/>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0"/>
              </w:rPr>
              <w:t>(</w:t>
            </w:r>
            <w:r>
              <w:rPr>
                <w:rFonts w:hint="eastAsia" w:ascii="HGPｺﾞｼｯｸM" w:hAnsi="HGPｺﾞｼｯｸM" w:eastAsia="HGPｺﾞｼｯｸM"/>
                <w:spacing w:val="65"/>
                <w:w w:val="89"/>
                <w:kern w:val="0"/>
                <w:sz w:val="24"/>
                <w:fitText w:val="1440" w:id="10"/>
              </w:rPr>
              <w:t>していない</w:t>
            </w:r>
            <w:r>
              <w:rPr>
                <w:rFonts w:hint="eastAsia" w:ascii="HGPｺﾞｼｯｸM" w:hAnsi="HGPｺﾞｼｯｸM" w:eastAsia="HGPｺﾞｼｯｸM"/>
                <w:spacing w:val="0"/>
                <w:w w:val="89"/>
                <w:kern w:val="0"/>
                <w:sz w:val="24"/>
                <w:fitText w:val="1440" w:id="10"/>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p>
        </w:tc>
      </w:tr>
      <w:tr>
        <w:trPr>
          <w:trHeight w:val="1810"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更生・育成：第７条</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精神通院：</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第５条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訪問看護に関する諸記録に必要な事項を記入しているか。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1"/>
              </w:rPr>
              <w:t>(</w:t>
            </w:r>
            <w:r>
              <w:rPr>
                <w:rFonts w:hint="eastAsia" w:ascii="HGPｺﾞｼｯｸM" w:hAnsi="HGPｺﾞｼｯｸM" w:eastAsia="HGPｺﾞｼｯｸM"/>
                <w:spacing w:val="120"/>
                <w:w w:val="89"/>
                <w:kern w:val="0"/>
                <w:sz w:val="24"/>
                <w:fitText w:val="1440" w:id="11"/>
              </w:rPr>
              <w:t>している</w:t>
            </w:r>
            <w:r>
              <w:rPr>
                <w:rFonts w:hint="eastAsia" w:ascii="HGPｺﾞｼｯｸM" w:hAnsi="HGPｺﾞｼｯｸM" w:eastAsia="HGPｺﾞｼｯｸM"/>
                <w:spacing w:val="1"/>
                <w:w w:val="89"/>
                <w:kern w:val="0"/>
                <w:sz w:val="24"/>
                <w:fitText w:val="1440" w:id="11"/>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2"/>
              </w:rPr>
              <w:t>(</w:t>
            </w:r>
            <w:r>
              <w:rPr>
                <w:rFonts w:hint="eastAsia" w:ascii="HGPｺﾞｼｯｸM" w:hAnsi="HGPｺﾞｼｯｸM" w:eastAsia="HGPｺﾞｼｯｸM"/>
                <w:spacing w:val="65"/>
                <w:w w:val="89"/>
                <w:kern w:val="0"/>
                <w:sz w:val="24"/>
                <w:fitText w:val="1440" w:id="12"/>
              </w:rPr>
              <w:t>していない</w:t>
            </w:r>
            <w:r>
              <w:rPr>
                <w:rFonts w:hint="eastAsia" w:ascii="HGPｺﾞｼｯｸM" w:hAnsi="HGPｺﾞｼｯｸM" w:eastAsia="HGPｺﾞｼｯｸM"/>
                <w:spacing w:val="0"/>
                <w:w w:val="89"/>
                <w:kern w:val="0"/>
                <w:sz w:val="24"/>
                <w:fitText w:val="1440" w:id="12"/>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rHeight w:val="1800"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更生・育成：第８条</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精神通院：</w:t>
            </w: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第６条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訪問看護及び訪問看護報酬の請求に関する帳簿等を完結の日から５年間保存しているか。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□適</w:t>
            </w:r>
            <w:r>
              <w:rPr>
                <w:rFonts w:hint="eastAsia" w:ascii="HGPｺﾞｼｯｸM" w:hAnsi="HGPｺﾞｼｯｸM" w:eastAsia="HGPｺﾞｼｯｸM"/>
                <w:spacing w:val="120"/>
                <w:w w:val="89"/>
                <w:kern w:val="0"/>
                <w:sz w:val="24"/>
                <w:fitText w:val="1440" w:id="13"/>
              </w:rPr>
              <w:t>(</w:t>
            </w:r>
            <w:r>
              <w:rPr>
                <w:rFonts w:hint="eastAsia" w:ascii="HGPｺﾞｼｯｸM" w:hAnsi="HGPｺﾞｼｯｸM" w:eastAsia="HGPｺﾞｼｯｸM"/>
                <w:spacing w:val="120"/>
                <w:w w:val="89"/>
                <w:kern w:val="0"/>
                <w:sz w:val="24"/>
                <w:fitText w:val="1440" w:id="13"/>
              </w:rPr>
              <w:t>している</w:t>
            </w:r>
            <w:r>
              <w:rPr>
                <w:rFonts w:hint="eastAsia" w:ascii="HGPｺﾞｼｯｸM" w:hAnsi="HGPｺﾞｼｯｸM" w:eastAsia="HGPｺﾞｼｯｸM"/>
                <w:spacing w:val="1"/>
                <w:w w:val="89"/>
                <w:kern w:val="0"/>
                <w:sz w:val="24"/>
                <w:fitText w:val="1440" w:id="13"/>
              </w:rPr>
              <w:t>)</w:t>
            </w:r>
          </w:p>
          <w:p>
            <w:pPr>
              <w:pStyle w:val="0"/>
              <w:widowControl w:val="0"/>
              <w:autoSpaceDE w:val="0"/>
              <w:autoSpaceDN w:val="0"/>
              <w:adjustRightInd w:val="0"/>
              <w:jc w:val="both"/>
              <w:rPr>
                <w:rFonts w:hint="eastAsia" w:ascii="HGPｺﾞｼｯｸM" w:hAnsi="HGPｺﾞｼｯｸM" w:eastAsia="HGPｺﾞｼｯｸM"/>
                <w:kern w:val="0"/>
                <w:sz w:val="24"/>
              </w:rPr>
            </w:pPr>
          </w:p>
          <w:p>
            <w:pPr>
              <w:pStyle w:val="0"/>
              <w:widowControl w:val="0"/>
              <w:autoSpaceDE w:val="0"/>
              <w:autoSpaceDN w:val="0"/>
              <w:adjustRightInd w:val="0"/>
              <w:jc w:val="both"/>
              <w:rPr>
                <w:rFonts w:hint="eastAsia" w:ascii="HGPｺﾞｼｯｸM" w:hAnsi="HGPｺﾞｼｯｸM" w:eastAsia="HGPｺﾞｼｯｸM"/>
                <w:kern w:val="0"/>
                <w:sz w:val="24"/>
              </w:rPr>
            </w:pPr>
            <w:r>
              <w:rPr>
                <w:rFonts w:hint="eastAsia" w:ascii="HGPｺﾞｼｯｸM" w:hAnsi="HGPｺﾞｼｯｸM" w:eastAsia="HGPｺﾞｼｯｸM"/>
                <w:kern w:val="0"/>
                <w:sz w:val="24"/>
              </w:rPr>
              <w:t>□否</w:t>
            </w:r>
            <w:r>
              <w:rPr>
                <w:rFonts w:hint="eastAsia" w:ascii="HGPｺﾞｼｯｸM" w:hAnsi="HGPｺﾞｼｯｸM" w:eastAsia="HGPｺﾞｼｯｸM"/>
                <w:spacing w:val="65"/>
                <w:w w:val="89"/>
                <w:kern w:val="0"/>
                <w:sz w:val="24"/>
                <w:fitText w:val="1440" w:id="14"/>
              </w:rPr>
              <w:t>(</w:t>
            </w:r>
            <w:r>
              <w:rPr>
                <w:rFonts w:hint="eastAsia" w:ascii="HGPｺﾞｼｯｸM" w:hAnsi="HGPｺﾞｼｯｸM" w:eastAsia="HGPｺﾞｼｯｸM"/>
                <w:spacing w:val="65"/>
                <w:w w:val="89"/>
                <w:kern w:val="0"/>
                <w:sz w:val="24"/>
                <w:fitText w:val="1440" w:id="14"/>
              </w:rPr>
              <w:t>していない</w:t>
            </w:r>
            <w:r>
              <w:rPr>
                <w:rFonts w:hint="eastAsia" w:ascii="HGPｺﾞｼｯｸM" w:hAnsi="HGPｺﾞｼｯｸM" w:eastAsia="HGPｺﾞｼｯｸM"/>
                <w:spacing w:val="0"/>
                <w:w w:val="89"/>
                <w:kern w:val="0"/>
                <w:sz w:val="24"/>
                <w:fitText w:val="1440" w:id="14"/>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rPr>
            </w:pPr>
          </w:p>
        </w:tc>
      </w:tr>
      <w:tr>
        <w:trPr>
          <w:trHeight w:val="4100" w:hRule="atLeast"/>
        </w:trPr>
        <w:tc>
          <w:tcPr>
            <w:tcW w:w="15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r>
              <w:rPr>
                <w:rFonts w:hint="eastAsia" w:ascii="HGPｺﾞｼｯｸM" w:hAnsi="HGPｺﾞｼｯｸM" w:eastAsia="HGPｺﾞｼｯｸM"/>
                <w:kern w:val="0"/>
                <w:sz w:val="24"/>
                <w:highlight w:val="none"/>
              </w:rPr>
              <w:t>更生・育成：第３条</w:t>
            </w:r>
          </w:p>
        </w:tc>
        <w:tc>
          <w:tcPr>
            <w:tcW w:w="27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r>
              <w:rPr>
                <w:rFonts w:hint="eastAsia" w:ascii="HGｺﾞｼｯｸM" w:hAnsi="HGｺﾞｼｯｸM" w:eastAsia="HGｺﾞｼｯｸM"/>
                <w:b w:val="1"/>
                <w:sz w:val="22"/>
                <w:highlight w:val="none"/>
              </w:rPr>
              <w:t>※更生医療・育成医療のみ</w:t>
            </w:r>
          </w:p>
          <w:p>
            <w:pPr>
              <w:pStyle w:val="0"/>
              <w:rPr>
                <w:rFonts w:hint="eastAsia"/>
                <w:highlight w:val="none"/>
              </w:rPr>
            </w:pPr>
            <w:r>
              <w:rPr>
                <w:rFonts w:hint="eastAsia" w:ascii="HGPｺﾞｼｯｸM" w:hAnsi="HGPｺﾞｼｯｸM" w:eastAsia="HGPｺﾞｼｯｸM"/>
                <w:kern w:val="0"/>
                <w:sz w:val="24"/>
                <w:highlight w:val="none"/>
              </w:rPr>
              <w:t>具体的方針の変更が必要な場合は、受診者による市町長等への申請（具体的方針の変更が必要な医師の意見書を添付）の上で、市町長等の変更の承認を受けた具体的方針により訪問看護しているか。</w:t>
            </w:r>
          </w:p>
        </w:tc>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left"/>
              <w:rPr>
                <w:rFonts w:hint="eastAsia" w:ascii="HGPｺﾞｼｯｸM" w:hAnsi="HGPｺﾞｼｯｸM" w:eastAsia="HGPｺﾞｼｯｸM"/>
                <w:kern w:val="0"/>
                <w:sz w:val="24"/>
                <w:highlight w:val="none"/>
              </w:rPr>
            </w:pPr>
            <w:r>
              <w:rPr>
                <w:rFonts w:hint="eastAsia" w:ascii="HGPｺﾞｼｯｸM" w:hAnsi="HGPｺﾞｼｯｸM" w:eastAsia="HGPｺﾞｼｯｸM"/>
                <w:kern w:val="0"/>
                <w:sz w:val="24"/>
                <w:highlight w:val="none"/>
              </w:rPr>
              <w:t>□適</w:t>
            </w:r>
            <w:r>
              <w:rPr>
                <w:rFonts w:hint="eastAsia" w:ascii="HGPｺﾞｼｯｸM" w:hAnsi="HGPｺﾞｼｯｸM" w:eastAsia="HGPｺﾞｼｯｸM"/>
                <w:spacing w:val="60"/>
                <w:w w:val="80"/>
                <w:kern w:val="0"/>
                <w:sz w:val="24"/>
                <w:highlight w:val="none"/>
                <w:fitText w:val="1440" w:id="15"/>
              </w:rPr>
              <w:t>(</w:t>
            </w:r>
            <w:r>
              <w:rPr>
                <w:rFonts w:hint="eastAsia" w:ascii="HGPｺﾞｼｯｸM" w:hAnsi="HGPｺﾞｼｯｸM" w:eastAsia="HGPｺﾞｼｯｸM"/>
                <w:spacing w:val="60"/>
                <w:kern w:val="0"/>
                <w:sz w:val="24"/>
                <w:highlight w:val="none"/>
                <w:fitText w:val="1440" w:id="15"/>
              </w:rPr>
              <w:t>行</w:t>
            </w:r>
            <w:r>
              <w:rPr>
                <w:rFonts w:hint="eastAsia" w:ascii="HGPｺﾞｼｯｸM" w:hAnsi="HGPｺﾞｼｯｸM" w:eastAsia="HGPｺﾞｼｯｸM"/>
                <w:spacing w:val="60"/>
                <w:w w:val="80"/>
                <w:kern w:val="0"/>
                <w:sz w:val="24"/>
                <w:highlight w:val="none"/>
                <w:fitText w:val="1440" w:id="15"/>
              </w:rPr>
              <w:t>っている</w:t>
            </w:r>
            <w:r>
              <w:rPr>
                <w:rFonts w:hint="eastAsia" w:ascii="HGPｺﾞｼｯｸM" w:hAnsi="HGPｺﾞｼｯｸM" w:eastAsia="HGPｺﾞｼｯｸM"/>
                <w:spacing w:val="5"/>
                <w:w w:val="80"/>
                <w:kern w:val="0"/>
                <w:sz w:val="24"/>
                <w:highlight w:val="none"/>
                <w:fitText w:val="1440" w:id="15"/>
              </w:rPr>
              <w:t>)</w:t>
            </w:r>
          </w:p>
          <w:p>
            <w:pPr>
              <w:pStyle w:val="0"/>
              <w:widowControl w:val="0"/>
              <w:autoSpaceDE w:val="0"/>
              <w:autoSpaceDN w:val="0"/>
              <w:adjustRightInd w:val="0"/>
              <w:jc w:val="left"/>
              <w:rPr>
                <w:rFonts w:hint="eastAsia" w:ascii="HGPｺﾞｼｯｸM" w:hAnsi="HGPｺﾞｼｯｸM" w:eastAsia="HGPｺﾞｼｯｸM"/>
                <w:kern w:val="0"/>
                <w:sz w:val="24"/>
                <w:highlight w:val="none"/>
              </w:rPr>
            </w:pPr>
          </w:p>
          <w:p>
            <w:pPr>
              <w:pStyle w:val="0"/>
              <w:widowControl w:val="0"/>
              <w:autoSpaceDE w:val="0"/>
              <w:autoSpaceDN w:val="0"/>
              <w:adjustRightInd w:val="0"/>
              <w:jc w:val="left"/>
              <w:rPr>
                <w:rFonts w:hint="eastAsia" w:ascii="HGPｺﾞｼｯｸM" w:hAnsi="HGPｺﾞｼｯｸM" w:eastAsia="HGPｺﾞｼｯｸM"/>
                <w:kern w:val="0"/>
                <w:sz w:val="24"/>
                <w:highlight w:val="none"/>
              </w:rPr>
            </w:pPr>
          </w:p>
          <w:p>
            <w:pPr>
              <w:pStyle w:val="0"/>
              <w:widowControl w:val="0"/>
              <w:autoSpaceDE w:val="0"/>
              <w:autoSpaceDN w:val="0"/>
              <w:adjustRightInd w:val="0"/>
              <w:jc w:val="left"/>
              <w:rPr>
                <w:rFonts w:hint="eastAsia" w:ascii="HGPｺﾞｼｯｸM" w:hAnsi="HGPｺﾞｼｯｸM" w:eastAsia="HGPｺﾞｼｯｸM"/>
                <w:kern w:val="0"/>
                <w:sz w:val="24"/>
                <w:highlight w:val="none"/>
              </w:rPr>
            </w:pPr>
          </w:p>
          <w:p>
            <w:pPr>
              <w:pStyle w:val="0"/>
              <w:widowControl w:val="0"/>
              <w:autoSpaceDE w:val="0"/>
              <w:autoSpaceDN w:val="0"/>
              <w:adjustRightInd w:val="0"/>
              <w:jc w:val="left"/>
              <w:rPr>
                <w:rFonts w:hint="eastAsia" w:ascii="HGPｺﾞｼｯｸM" w:hAnsi="HGPｺﾞｼｯｸM" w:eastAsia="HGPｺﾞｼｯｸM"/>
                <w:kern w:val="0"/>
                <w:sz w:val="24"/>
                <w:highlight w:val="none"/>
              </w:rPr>
            </w:pPr>
          </w:p>
          <w:p>
            <w:pPr>
              <w:pStyle w:val="0"/>
              <w:rPr>
                <w:rFonts w:hint="eastAsia"/>
                <w:highlight w:val="none"/>
              </w:rPr>
            </w:pPr>
            <w:r>
              <w:rPr>
                <w:rFonts w:hint="eastAsia" w:ascii="HGPｺﾞｼｯｸM" w:hAnsi="HGPｺﾞｼｯｸM" w:eastAsia="HGPｺﾞｼｯｸM"/>
                <w:kern w:val="0"/>
                <w:sz w:val="24"/>
                <w:highlight w:val="none"/>
              </w:rPr>
              <w:t>□否</w:t>
            </w:r>
            <w:r>
              <w:rPr>
                <w:rFonts w:hint="eastAsia" w:ascii="HGPｺﾞｼｯｸM" w:hAnsi="HGPｺﾞｼｯｸM" w:eastAsia="HGPｺﾞｼｯｸM"/>
                <w:spacing w:val="33"/>
                <w:w w:val="78"/>
                <w:kern w:val="0"/>
                <w:sz w:val="24"/>
                <w:highlight w:val="none"/>
                <w:fitText w:val="1440" w:id="16"/>
              </w:rPr>
              <w:t>(</w:t>
            </w:r>
            <w:r>
              <w:rPr>
                <w:rFonts w:hint="eastAsia" w:ascii="HGPｺﾞｼｯｸM" w:hAnsi="HGPｺﾞｼｯｸM" w:eastAsia="HGPｺﾞｼｯｸM"/>
                <w:spacing w:val="33"/>
                <w:kern w:val="0"/>
                <w:sz w:val="24"/>
                <w:highlight w:val="none"/>
                <w:fitText w:val="1440" w:id="16"/>
              </w:rPr>
              <w:t>行</w:t>
            </w:r>
            <w:r>
              <w:rPr>
                <w:rFonts w:hint="eastAsia" w:ascii="HGPｺﾞｼｯｸM" w:hAnsi="HGPｺﾞｼｯｸM" w:eastAsia="HGPｺﾞｼｯｸM"/>
                <w:spacing w:val="33"/>
                <w:w w:val="78"/>
                <w:kern w:val="0"/>
                <w:sz w:val="24"/>
                <w:highlight w:val="none"/>
                <w:fitText w:val="1440" w:id="16"/>
              </w:rPr>
              <w:t>っていない</w:t>
            </w:r>
            <w:r>
              <w:rPr>
                <w:rFonts w:hint="eastAsia" w:ascii="HGPｺﾞｼｯｸM" w:hAnsi="HGPｺﾞｼｯｸM" w:eastAsia="HGPｺﾞｼｯｸM"/>
                <w:spacing w:val="0"/>
                <w:w w:val="78"/>
                <w:kern w:val="0"/>
                <w:sz w:val="24"/>
                <w:highlight w:val="none"/>
                <w:fitText w:val="1440" w:id="16"/>
              </w:rPr>
              <w:t>)</w:t>
            </w:r>
          </w:p>
        </w:tc>
        <w:tc>
          <w:tcPr>
            <w:tcW w:w="3391"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top"/>
          </w:tcPr>
          <w:p>
            <w:pPr>
              <w:pStyle w:val="0"/>
              <w:rPr>
                <w:rFonts w:hint="eastAsia"/>
                <w:highlight w:val="none"/>
              </w:rPr>
            </w:pPr>
            <w:bookmarkStart w:id="0" w:name="_GoBack"/>
            <w:bookmarkEnd w:id="0"/>
          </w:p>
        </w:tc>
      </w:tr>
    </w:tbl>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ind w:right="70"/>
        <w:jc w:val="right"/>
        <w:rPr>
          <w:rFonts w:hint="eastAsia"/>
        </w:rPr>
      </w:pPr>
    </w:p>
    <w:p>
      <w:pPr>
        <w:pStyle w:val="0"/>
        <w:autoSpaceDE w:val="0"/>
        <w:autoSpaceDN w:val="0"/>
        <w:adjustRightInd w:val="0"/>
        <w:spacing w:line="0" w:lineRule="atLeast"/>
        <w:jc w:val="right"/>
        <w:rPr>
          <w:rFonts w:hint="eastAsia" w:ascii="HGPｺﾞｼｯｸM" w:hAnsi="HGPｺﾞｼｯｸM" w:eastAsia="HGPｺﾞｼｯｸM"/>
          <w:b w:val="1"/>
          <w:kern w:val="0"/>
        </w:rPr>
      </w:pPr>
      <w:r>
        <w:rPr>
          <w:rFonts w:hint="eastAsia" w:ascii="HGPｺﾞｼｯｸM" w:hAnsi="HGPｺﾞｼｯｸM" w:eastAsia="HGPｺﾞｼｯｸM"/>
          <w:b w:val="1"/>
          <w:kern w:val="0"/>
        </w:rPr>
        <w:t>（参考）</w:t>
      </w:r>
    </w:p>
    <w:p>
      <w:pPr>
        <w:pStyle w:val="0"/>
        <w:autoSpaceDE w:val="0"/>
        <w:autoSpaceDN w:val="0"/>
        <w:adjustRightInd w:val="0"/>
        <w:spacing w:line="0" w:lineRule="atLeast"/>
        <w:rPr>
          <w:rFonts w:hint="default" w:ascii="HGPｺﾞｼｯｸM" w:hAnsi="HGPｺﾞｼｯｸM" w:eastAsia="HGPｺﾞｼｯｸM"/>
          <w:b w:val="1"/>
          <w:kern w:val="0"/>
        </w:rPr>
      </w:pPr>
      <w:r>
        <w:rPr>
          <w:rFonts w:hint="eastAsia" w:ascii="HGPｺﾞｼｯｸM" w:hAnsi="HGPｺﾞｼｯｸM" w:eastAsia="HGPｺﾞｼｯｸM"/>
          <w:b w:val="1"/>
          <w:kern w:val="0"/>
        </w:rPr>
        <w:t>○</w:t>
      </w:r>
      <w:r>
        <w:rPr>
          <w:rFonts w:hint="default" w:ascii="ＭＳ 明朝" w:hAnsi="ＭＳ 明朝" w:eastAsia="HGPｺﾞｼｯｸM"/>
          <w:b w:val="1"/>
          <w:kern w:val="0"/>
        </w:rPr>
        <w:t>指定自立支援医療機関</w:t>
      </w:r>
      <w:r>
        <w:rPr>
          <w:rFonts w:hint="default" w:ascii="HGPｺﾞｼｯｸM" w:hAnsi="HGPｺﾞｼｯｸM" w:eastAsia="HGPｺﾞｼｯｸM"/>
          <w:b w:val="1"/>
          <w:kern w:val="0"/>
        </w:rPr>
        <w:t>(</w:t>
      </w:r>
      <w:r>
        <w:rPr>
          <w:rFonts w:hint="default" w:ascii="ＭＳ 明朝" w:hAnsi="ＭＳ 明朝" w:eastAsia="HGPｺﾞｼｯｸM"/>
          <w:b w:val="1"/>
          <w:kern w:val="0"/>
        </w:rPr>
        <w:t>育成医療・更生医療</w:t>
      </w:r>
      <w:r>
        <w:rPr>
          <w:rFonts w:hint="default" w:ascii="HGPｺﾞｼｯｸM" w:hAnsi="HGPｺﾞｼｯｸM" w:eastAsia="HGPｺﾞｼｯｸM"/>
          <w:b w:val="1"/>
          <w:kern w:val="0"/>
        </w:rPr>
        <w:t>)</w:t>
      </w:r>
      <w:r>
        <w:rPr>
          <w:rFonts w:hint="default" w:ascii="ＭＳ 明朝" w:hAnsi="ＭＳ 明朝" w:eastAsia="HGPｺﾞｼｯｸM"/>
          <w:b w:val="1"/>
          <w:kern w:val="0"/>
        </w:rPr>
        <w:t>療養担当規程</w:t>
      </w:r>
    </w:p>
    <w:p>
      <w:pPr>
        <w:pStyle w:val="0"/>
        <w:rPr>
          <w:rFonts w:hint="eastAsia"/>
        </w:rPr>
      </w:pPr>
      <w:r>
        <w:rPr>
          <w:rFonts w:hint="default"/>
        </w:rPr>
        <w:t>(</w:t>
      </w:r>
      <w:r>
        <w:rPr>
          <w:rFonts w:hint="default"/>
        </w:rPr>
        <w:t>平成十八年二月二十八日</w:t>
      </w:r>
      <w:r>
        <w:rPr>
          <w:rFonts w:hint="default"/>
        </w:rPr>
        <w:t xml:space="preserve">) </w:t>
      </w:r>
    </w:p>
    <w:p>
      <w:pPr>
        <w:pStyle w:val="0"/>
        <w:rPr>
          <w:rFonts w:hint="default"/>
        </w:rPr>
      </w:pPr>
      <w:r>
        <w:rPr>
          <w:rFonts w:hint="default"/>
        </w:rPr>
        <w:t>(</w:t>
      </w:r>
      <w:r>
        <w:rPr>
          <w:rFonts w:hint="default"/>
        </w:rPr>
        <w:t>厚生労働省告示第六十五号</w:t>
      </w:r>
      <w:r>
        <w:rPr>
          <w:rFonts w:hint="default"/>
        </w:rPr>
        <w:t>)</w:t>
      </w:r>
    </w:p>
    <w:p>
      <w:pPr>
        <w:pStyle w:val="0"/>
        <w:rPr>
          <w:rFonts w:hint="default"/>
        </w:rPr>
      </w:pPr>
      <w:r>
        <w:rPr>
          <w:rFonts w:hint="default"/>
        </w:rPr>
        <w:t>障害者自立支援法施行規則</w:t>
      </w:r>
      <w:r>
        <w:rPr>
          <w:rFonts w:hint="default"/>
        </w:rPr>
        <w:t>(</w:t>
      </w:r>
      <w:r>
        <w:rPr>
          <w:rFonts w:hint="default"/>
        </w:rPr>
        <w:t>平成十八年厚生労働省令第十九号</w:t>
      </w:r>
      <w:r>
        <w:rPr>
          <w:rFonts w:hint="default"/>
        </w:rPr>
        <w:t>)</w:t>
      </w:r>
      <w:r>
        <w:rPr>
          <w:rFonts w:hint="default"/>
        </w:rPr>
        <w:t>第六十条の規定に基づき、指定自立支援医療機関</w:t>
      </w:r>
      <w:r>
        <w:rPr>
          <w:rFonts w:hint="default"/>
        </w:rPr>
        <w:t>(</w:t>
      </w:r>
      <w:r>
        <w:rPr>
          <w:rFonts w:hint="default"/>
        </w:rPr>
        <w:t>育成医療・更生医療</w:t>
      </w:r>
      <w:r>
        <w:rPr>
          <w:rFonts w:hint="default"/>
        </w:rPr>
        <w:t>)</w:t>
      </w:r>
      <w:r>
        <w:rPr>
          <w:rFonts w:hint="default"/>
        </w:rPr>
        <w:t>療養担当規程を次のように定め、平成十八年四月一日から適用する。</w:t>
      </w:r>
    </w:p>
    <w:p>
      <w:pPr>
        <w:pStyle w:val="0"/>
        <w:rPr>
          <w:rFonts w:hint="default"/>
        </w:rPr>
      </w:pPr>
      <w:r>
        <w:rPr>
          <w:rFonts w:hint="default"/>
        </w:rPr>
        <w:t>指定自立支援医療機関</w:t>
      </w:r>
      <w:r>
        <w:rPr>
          <w:rFonts w:hint="default"/>
        </w:rPr>
        <w:t>(</w:t>
      </w:r>
      <w:r>
        <w:rPr>
          <w:rFonts w:hint="default"/>
        </w:rPr>
        <w:t>育成医療・更生医療</w:t>
      </w:r>
      <w:r>
        <w:rPr>
          <w:rFonts w:hint="default"/>
        </w:rPr>
        <w:t>)</w:t>
      </w:r>
      <w:r>
        <w:rPr>
          <w:rFonts w:hint="default"/>
        </w:rPr>
        <w:t>療養担当規程</w:t>
      </w:r>
    </w:p>
    <w:p>
      <w:pPr>
        <w:pStyle w:val="0"/>
        <w:rPr>
          <w:rFonts w:hint="default"/>
        </w:rPr>
      </w:pPr>
      <w:r>
        <w:rPr>
          <w:rFonts w:hint="default"/>
        </w:rPr>
        <w:t>(</w:t>
      </w:r>
      <w:r>
        <w:rPr>
          <w:rFonts w:hint="default"/>
        </w:rPr>
        <w:t>指定自立支援医療機関の義務</w:t>
      </w:r>
      <w:r>
        <w:rPr>
          <w:rFonts w:hint="default"/>
        </w:rPr>
        <w:t>)</w:t>
      </w:r>
    </w:p>
    <w:p>
      <w:pPr>
        <w:pStyle w:val="0"/>
        <w:rPr>
          <w:rFonts w:hint="default"/>
        </w:rPr>
      </w:pPr>
      <w:r>
        <w:rPr>
          <w:rFonts w:hint="default"/>
        </w:rPr>
        <w:t>第一条　障害者の日常生活及び社会生活を総合的に支援するための法律施行令</w:t>
      </w:r>
      <w:r>
        <w:rPr>
          <w:rFonts w:hint="default"/>
        </w:rPr>
        <w:t>(</w:t>
      </w:r>
      <w:r>
        <w:rPr>
          <w:rFonts w:hint="default"/>
        </w:rPr>
        <w:t>平成十八年政令第十号</w:t>
      </w:r>
      <w:r>
        <w:rPr>
          <w:rFonts w:hint="default"/>
        </w:rPr>
        <w:t>)</w:t>
      </w:r>
      <w:r>
        <w:rPr>
          <w:rFonts w:hint="default"/>
        </w:rPr>
        <w:t>第一条の二第一号に規定する育成医療</w:t>
      </w:r>
      <w:r>
        <w:rPr>
          <w:rFonts w:hint="default"/>
        </w:rPr>
        <w:t>(</w:t>
      </w:r>
      <w:r>
        <w:rPr>
          <w:rFonts w:hint="default"/>
        </w:rPr>
        <w:t>以下「育成医療」という。</w:t>
      </w:r>
      <w:r>
        <w:rPr>
          <w:rFonts w:hint="default"/>
        </w:rPr>
        <w:t>)</w:t>
      </w:r>
      <w:r>
        <w:rPr>
          <w:rFonts w:hint="default"/>
        </w:rPr>
        <w:t>又は同条第二号に規定する更生医療</w:t>
      </w:r>
      <w:r>
        <w:rPr>
          <w:rFonts w:hint="default"/>
        </w:rPr>
        <w:t>(</w:t>
      </w:r>
      <w:r>
        <w:rPr>
          <w:rFonts w:hint="default"/>
        </w:rPr>
        <w:t>以下「更生医療」という。</w:t>
      </w:r>
      <w:r>
        <w:rPr>
          <w:rFonts w:hint="default"/>
        </w:rPr>
        <w:t>)</w:t>
      </w:r>
      <w:r>
        <w:rPr>
          <w:rFonts w:hint="default"/>
        </w:rPr>
        <w:t>を行う指定自立支援医療機関</w:t>
      </w:r>
      <w:r>
        <w:rPr>
          <w:rFonts w:hint="default"/>
        </w:rPr>
        <w:t>(</w:t>
      </w:r>
      <w:r>
        <w:rPr>
          <w:rFonts w:hint="default"/>
        </w:rPr>
        <w:t>障害者の日常生活及び社会生活を総合的に支援するための法律</w:t>
      </w:r>
      <w:r>
        <w:rPr>
          <w:rFonts w:hint="default"/>
        </w:rPr>
        <w:t>(</w:t>
      </w:r>
      <w:r>
        <w:rPr>
          <w:rFonts w:hint="default"/>
        </w:rPr>
        <w:t>平成十七年法律第百二十三号。以下「法」という。</w:t>
      </w:r>
      <w:r>
        <w:rPr>
          <w:rFonts w:hint="default"/>
        </w:rPr>
        <w:t>)</w:t>
      </w:r>
      <w:r>
        <w:rPr>
          <w:rFonts w:hint="default"/>
        </w:rPr>
        <w:t>第五十四条第二項に規定する指定自立支援医療機関をいう。以下同じ。</w:t>
      </w:r>
      <w:r>
        <w:rPr>
          <w:rFonts w:hint="default"/>
        </w:rPr>
        <w:t>)</w:t>
      </w:r>
      <w:r>
        <w:rPr>
          <w:rFonts w:hint="default"/>
        </w:rPr>
        <w:t>は、法及び障害者の日常生活及び社会生活を総合的に支援するための法律施行規則</w:t>
      </w:r>
      <w:r>
        <w:rPr>
          <w:rFonts w:hint="default"/>
        </w:rPr>
        <w:t>(</w:t>
      </w:r>
      <w:r>
        <w:rPr>
          <w:rFonts w:hint="default"/>
        </w:rPr>
        <w:t>平成十八年厚生労働省令第十九号。以下「規則」という。</w:t>
      </w:r>
      <w:r>
        <w:rPr>
          <w:rFonts w:hint="default"/>
        </w:rPr>
        <w:t>)</w:t>
      </w:r>
      <w:r>
        <w:rPr>
          <w:rFonts w:hint="default"/>
        </w:rPr>
        <w:t>の定めるところによるほか、この規程の定めるところにより、法の規定による自立支援医療を担当しなければならない。</w:t>
      </w:r>
    </w:p>
    <w:p>
      <w:pPr>
        <w:pStyle w:val="0"/>
        <w:rPr>
          <w:rFonts w:hint="default"/>
        </w:rPr>
      </w:pPr>
      <w:r>
        <w:rPr>
          <w:rFonts w:hint="default"/>
        </w:rPr>
        <w:t>(</w:t>
      </w:r>
      <w:r>
        <w:rPr>
          <w:rFonts w:hint="default"/>
        </w:rPr>
        <w:t>平二五厚労告六・一部改正</w:t>
      </w:r>
      <w:r>
        <w:rPr>
          <w:rFonts w:hint="default"/>
        </w:rPr>
        <w:t>)</w:t>
      </w:r>
    </w:p>
    <w:p>
      <w:pPr>
        <w:pStyle w:val="0"/>
        <w:rPr>
          <w:rFonts w:hint="default"/>
        </w:rPr>
      </w:pPr>
      <w:r>
        <w:rPr>
          <w:rFonts w:hint="default"/>
        </w:rPr>
        <w:t>(</w:t>
      </w:r>
      <w:r>
        <w:rPr>
          <w:rFonts w:hint="default"/>
        </w:rPr>
        <w:t>診療の拒否の禁止</w:t>
      </w:r>
      <w:r>
        <w:rPr>
          <w:rFonts w:hint="default"/>
        </w:rPr>
        <w:t>)</w:t>
      </w:r>
    </w:p>
    <w:p>
      <w:pPr>
        <w:pStyle w:val="0"/>
        <w:rPr>
          <w:rFonts w:hint="default"/>
        </w:rPr>
      </w:pPr>
      <w:r>
        <w:rPr>
          <w:rFonts w:hint="default"/>
        </w:rPr>
        <w:t>第二条　指定自立支援医療機関は、自立支援医療を受ける障害者又は障害児</w:t>
      </w:r>
      <w:r>
        <w:rPr>
          <w:rFonts w:hint="default"/>
        </w:rPr>
        <w:t>(</w:t>
      </w:r>
      <w:r>
        <w:rPr>
          <w:rFonts w:hint="default"/>
        </w:rPr>
        <w:t>育成医療又は更生医療を受ける者に限る。以下「受診者」という。</w:t>
      </w:r>
      <w:r>
        <w:rPr>
          <w:rFonts w:hint="default"/>
        </w:rPr>
        <w:t>)</w:t>
      </w:r>
      <w:r>
        <w:rPr>
          <w:rFonts w:hint="default"/>
        </w:rPr>
        <w:t>の診療を正当な理由がなく拒んではならない。</w:t>
      </w:r>
    </w:p>
    <w:p>
      <w:pPr>
        <w:pStyle w:val="0"/>
        <w:rPr>
          <w:rFonts w:hint="default"/>
        </w:rPr>
      </w:pPr>
      <w:r>
        <w:rPr>
          <w:rFonts w:hint="default"/>
        </w:rPr>
        <w:t>(</w:t>
      </w:r>
      <w:r>
        <w:rPr>
          <w:rFonts w:hint="default"/>
        </w:rPr>
        <w:t>診療開始時の注意</w:t>
      </w:r>
      <w:r>
        <w:rPr>
          <w:rFonts w:hint="default"/>
        </w:rPr>
        <w:t>)</w:t>
      </w:r>
    </w:p>
    <w:p>
      <w:pPr>
        <w:pStyle w:val="0"/>
        <w:rPr>
          <w:rFonts w:hint="default"/>
        </w:rPr>
      </w:pPr>
      <w:r>
        <w:rPr>
          <w:rFonts w:hint="default"/>
        </w:rPr>
        <w:t>第三条　指定自立支援医療機関は、障害者又は障害児の保護者から法第五十四条第三項に規定する医療受給者証</w:t>
      </w:r>
      <w:r>
        <w:rPr>
          <w:rFonts w:hint="default"/>
        </w:rPr>
        <w:t>(</w:t>
      </w:r>
      <w:r>
        <w:rPr>
          <w:rFonts w:hint="default"/>
        </w:rPr>
        <w:t>以下「受給者証」という。</w:t>
      </w:r>
      <w:r>
        <w:rPr>
          <w:rFonts w:hint="default"/>
        </w:rPr>
        <w:t>)</w:t>
      </w:r>
      <w:r>
        <w:rPr>
          <w:rFonts w:hint="default"/>
        </w:rPr>
        <w:t>を提出して受診者の診療を求められたときは、その受給者証が有効であることを確かめた後でなければ診療をしてはならない。</w:t>
      </w:r>
    </w:p>
    <w:p>
      <w:pPr>
        <w:pStyle w:val="0"/>
        <w:rPr>
          <w:rFonts w:hint="default"/>
        </w:rPr>
      </w:pPr>
      <w:r>
        <w:rPr>
          <w:rFonts w:hint="default"/>
        </w:rPr>
        <w:t>２　指定自立支援医療機関は、受給者証に記載された医療の具体的方針を変更しようとするときは、あらかじめ当該受給者証を交付した市町村と協議し、その承認を受けなければならない。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診療時間</w:t>
      </w:r>
      <w:r>
        <w:rPr>
          <w:rFonts w:hint="default"/>
        </w:rPr>
        <w:t>)</w:t>
      </w:r>
    </w:p>
    <w:p>
      <w:pPr>
        <w:pStyle w:val="0"/>
        <w:rPr>
          <w:rFonts w:hint="default"/>
        </w:rPr>
      </w:pPr>
      <w:r>
        <w:rPr>
          <w:rFonts w:hint="default"/>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pPr>
        <w:pStyle w:val="0"/>
        <w:rPr>
          <w:rFonts w:hint="default"/>
        </w:rPr>
      </w:pPr>
      <w:r>
        <w:rPr>
          <w:rFonts w:hint="default"/>
        </w:rPr>
        <w:t>(</w:t>
      </w:r>
      <w:r>
        <w:rPr>
          <w:rFonts w:hint="default"/>
        </w:rPr>
        <w:t>援助</w:t>
      </w:r>
      <w:r>
        <w:rPr>
          <w:rFonts w:hint="default"/>
        </w:rPr>
        <w:t>)</w:t>
      </w:r>
    </w:p>
    <w:p>
      <w:pPr>
        <w:pStyle w:val="0"/>
        <w:rPr>
          <w:rFonts w:hint="default"/>
        </w:rPr>
      </w:pPr>
      <w:r>
        <w:rPr>
          <w:rFonts w:hint="default"/>
        </w:rPr>
        <w:t>第五条　指定自立支援医療機関が支給認定の有効期間を延長する必要があると認めたとき、又は受診者に対し移送を行うことが必要であり、かつ、自ら行うことができないと認めたときは、速やかに、その者に対し必要な援助を与えなければならない。</w:t>
      </w:r>
    </w:p>
    <w:p>
      <w:pPr>
        <w:pStyle w:val="0"/>
        <w:rPr>
          <w:rFonts w:hint="default"/>
        </w:rPr>
      </w:pPr>
      <w:r>
        <w:rPr>
          <w:rFonts w:hint="default"/>
        </w:rPr>
        <w:t>(</w:t>
      </w:r>
      <w:r>
        <w:rPr>
          <w:rFonts w:hint="default"/>
        </w:rPr>
        <w:t>証明書等の交付</w:t>
      </w:r>
      <w:r>
        <w:rPr>
          <w:rFonts w:hint="default"/>
        </w:rPr>
        <w:t>)</w:t>
      </w:r>
    </w:p>
    <w:p>
      <w:pPr>
        <w:pStyle w:val="0"/>
        <w:rPr>
          <w:rFonts w:hint="default"/>
        </w:rPr>
      </w:pPr>
      <w:r>
        <w:rPr>
          <w:rFonts w:hint="default"/>
        </w:rPr>
        <w:t>第六条　指定自立支援医療機関は、その診療中の受診者又は受診者の保護者及び当該者に対し支給認定を行った市町村から、自立支援医療につき必要な証明書又は意見書等の交付を求められたときは、無償でこれを交付しなければならない。</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診療録</w:t>
      </w:r>
      <w:r>
        <w:rPr>
          <w:rFonts w:hint="default"/>
        </w:rPr>
        <w:t>)</w:t>
      </w:r>
    </w:p>
    <w:p>
      <w:pPr>
        <w:pStyle w:val="0"/>
        <w:rPr>
          <w:rFonts w:hint="default"/>
        </w:rPr>
      </w:pPr>
      <w:r>
        <w:rPr>
          <w:rFonts w:hint="default"/>
        </w:rPr>
        <w:t>第七条　指定自立支援医療機関は、受診者に関する診療録に健康保険の例によって医療の担当に関し必要な事項を記載しなければならない。</w:t>
      </w:r>
    </w:p>
    <w:p>
      <w:pPr>
        <w:pStyle w:val="0"/>
        <w:rPr>
          <w:rFonts w:hint="default"/>
        </w:rPr>
      </w:pPr>
      <w:r>
        <w:rPr>
          <w:rFonts w:hint="default"/>
        </w:rPr>
        <w:t>(</w:t>
      </w:r>
      <w:r>
        <w:rPr>
          <w:rFonts w:hint="default"/>
        </w:rPr>
        <w:t>帳簿</w:t>
      </w:r>
      <w:r>
        <w:rPr>
          <w:rFonts w:hint="default"/>
        </w:rPr>
        <w:t>)</w:t>
      </w:r>
    </w:p>
    <w:p>
      <w:pPr>
        <w:pStyle w:val="0"/>
        <w:rPr>
          <w:rFonts w:hint="default"/>
        </w:rPr>
      </w:pPr>
      <w:r>
        <w:rPr>
          <w:rFonts w:hint="default"/>
        </w:rPr>
        <w:t>第八条　指定自立支援医療機関は、診療及び診療報酬の請求に関する帳簿及びその他の物件をその完結の日から五年間保存しなければならない。</w:t>
      </w:r>
    </w:p>
    <w:p>
      <w:pPr>
        <w:pStyle w:val="0"/>
        <w:rPr>
          <w:rFonts w:hint="default"/>
        </w:rPr>
      </w:pPr>
      <w:r>
        <w:rPr>
          <w:rFonts w:hint="default"/>
        </w:rPr>
        <w:t>(</w:t>
      </w:r>
      <w:r>
        <w:rPr>
          <w:rFonts w:hint="default"/>
        </w:rPr>
        <w:t>通知</w:t>
      </w:r>
      <w:r>
        <w:rPr>
          <w:rFonts w:hint="default"/>
        </w:rPr>
        <w:t>)</w:t>
      </w:r>
    </w:p>
    <w:p>
      <w:pPr>
        <w:pStyle w:val="0"/>
        <w:rPr>
          <w:rFonts w:hint="default"/>
        </w:rPr>
      </w:pPr>
      <w:r>
        <w:rPr>
          <w:rFonts w:hint="default"/>
        </w:rPr>
        <w:t>第九条　指定自立支援医療機関が受診者について次の各号のいずれかに該当する事実のあることを知った場合には、速やかに、意見を付して受給者証を交付した市町村に通知しなければならない。</w:t>
      </w:r>
    </w:p>
    <w:p>
      <w:pPr>
        <w:pStyle w:val="0"/>
        <w:rPr>
          <w:rFonts w:hint="default"/>
        </w:rPr>
      </w:pPr>
      <w:r>
        <w:rPr>
          <w:rFonts w:hint="default"/>
        </w:rPr>
        <w:t>一　受診者が正当な理由なく、診療に関する指導に従わないとき。</w:t>
      </w:r>
    </w:p>
    <w:p>
      <w:pPr>
        <w:pStyle w:val="0"/>
        <w:rPr>
          <w:rFonts w:hint="default"/>
        </w:rPr>
      </w:pPr>
      <w:r>
        <w:rPr>
          <w:rFonts w:hint="default"/>
        </w:rPr>
        <w:t>二　受診者が詐欺その他不正な手段による診療を受け、又は受けようとしたとき。</w:t>
      </w:r>
    </w:p>
    <w:p>
      <w:pPr>
        <w:pStyle w:val="0"/>
        <w:rPr>
          <w:rFonts w:hint="default"/>
        </w:rPr>
      </w:pPr>
      <w:r>
        <w:rPr>
          <w:rFonts w:hint="default"/>
        </w:rPr>
        <w:t>(</w:t>
      </w:r>
      <w:r>
        <w:rPr>
          <w:rFonts w:hint="default"/>
        </w:rPr>
        <w:t>平二五厚労告二三・一部改正</w:t>
      </w:r>
      <w:r>
        <w:rPr>
          <w:rFonts w:hint="default"/>
        </w:rPr>
        <w:t>)</w:t>
      </w:r>
    </w:p>
    <w:p>
      <w:pPr>
        <w:pStyle w:val="0"/>
        <w:rPr>
          <w:rFonts w:hint="default"/>
        </w:rPr>
      </w:pPr>
      <w:r>
        <w:rPr>
          <w:rFonts w:hint="default"/>
        </w:rPr>
        <w:t>(</w:t>
      </w:r>
      <w:r>
        <w:rPr>
          <w:rFonts w:hint="default"/>
        </w:rPr>
        <w:t>指定訪問看護事業者等に関する特例</w:t>
      </w:r>
      <w:r>
        <w:rPr>
          <w:rFonts w:hint="default"/>
        </w:rPr>
        <w:t>)</w:t>
      </w:r>
    </w:p>
    <w:p>
      <w:pPr>
        <w:pStyle w:val="0"/>
        <w:rPr>
          <w:rFonts w:hint="default"/>
        </w:rPr>
      </w:pPr>
      <w:r>
        <w:rPr>
          <w:rFonts w:hint="default"/>
        </w:rPr>
        <w:t>第十条　指定自立支援医療機関である健康保険法</w:t>
      </w:r>
      <w:r>
        <w:rPr>
          <w:rFonts w:hint="default"/>
        </w:rPr>
        <w:t>(</w:t>
      </w:r>
      <w:r>
        <w:rPr>
          <w:rFonts w:hint="default"/>
        </w:rPr>
        <w:t>大正十一年法律第七十号</w:t>
      </w:r>
      <w:r>
        <w:rPr>
          <w:rFonts w:hint="default"/>
        </w:rPr>
        <w:t>)</w:t>
      </w:r>
      <w:r>
        <w:rPr>
          <w:rFonts w:hint="default"/>
        </w:rPr>
        <w:t>第八十八条第一項に規定する指定訪問看護事業者又は介護保険法</w:t>
      </w:r>
      <w:r>
        <w:rPr>
          <w:rFonts w:hint="default"/>
        </w:rPr>
        <w:t>(</w:t>
      </w:r>
      <w:r>
        <w:rPr>
          <w:rFonts w:hint="default"/>
        </w:rPr>
        <w:t>平成九年法律第百二十三号</w:t>
      </w:r>
      <w:r>
        <w:rPr>
          <w:rFonts w:hint="default"/>
        </w:rPr>
        <w:t>)</w:t>
      </w:r>
      <w:r>
        <w:rPr>
          <w:rFonts w:hint="default"/>
        </w:rPr>
        <w:t>第四十一条第一項に規定する指定居宅サービス事業者</w:t>
      </w:r>
      <w:r>
        <w:rPr>
          <w:rFonts w:hint="default"/>
        </w:rPr>
        <w:t>(</w:t>
      </w:r>
      <w:r>
        <w:rPr>
          <w:rFonts w:hint="default"/>
        </w:rPr>
        <w:t>同法第八条第四項に規定する訪問看護を行う者に限る。</w:t>
      </w:r>
      <w:r>
        <w:rPr>
          <w:rFonts w:hint="default"/>
        </w:rPr>
        <w:t>)</w:t>
      </w:r>
      <w:r>
        <w:rPr>
          <w:rFonts w:hint="default"/>
        </w:rPr>
        <w:t>若しくは同法第五十三条第一項に規定する指定介護予防サービス事業者</w:t>
      </w:r>
      <w:r>
        <w:rPr>
          <w:rFonts w:hint="default"/>
        </w:rPr>
        <w:t>(</w:t>
      </w:r>
      <w:r>
        <w:rPr>
          <w:rFonts w:hint="default"/>
        </w:rPr>
        <w:t>同法第八条の二第三項に規定する介護予防訪問看護を行う者に限る。</w:t>
      </w:r>
      <w:r>
        <w:rPr>
          <w:rFonts w:hint="default"/>
        </w:rPr>
        <w:t>)</w:t>
      </w:r>
      <w:r>
        <w:rPr>
          <w:rFonts w:hint="default"/>
        </w:rPr>
        <w:t>にあっては、第三条第二項及び第五条の規定は適用せず、第七条中「関する診療録」とあるのは「対する指定訪問看護又は指定居宅サービス</w:t>
      </w:r>
      <w:r>
        <w:rPr>
          <w:rFonts w:hint="default"/>
        </w:rPr>
        <w:t>(</w:t>
      </w:r>
      <w:r>
        <w:rPr>
          <w:rFonts w:hint="default"/>
        </w:rPr>
        <w:t>訪問看護に限る。</w:t>
      </w:r>
      <w:r>
        <w:rPr>
          <w:rFonts w:hint="default"/>
        </w:rPr>
        <w:t>)</w:t>
      </w:r>
      <w:r>
        <w:rPr>
          <w:rFonts w:hint="default"/>
        </w:rPr>
        <w:t>若しくは指定介護予防サービス</w:t>
      </w:r>
      <w:r>
        <w:rPr>
          <w:rFonts w:hint="default"/>
        </w:rPr>
        <w:t>(</w:t>
      </w:r>
      <w:r>
        <w:rPr>
          <w:rFonts w:hint="default"/>
        </w:rPr>
        <w:t>介護予防訪問看護に限る。</w:t>
      </w:r>
      <w:r>
        <w:rPr>
          <w:rFonts w:hint="default"/>
        </w:rPr>
        <w:t>)</w:t>
      </w:r>
      <w:r>
        <w:rPr>
          <w:rFonts w:hint="default"/>
        </w:rPr>
        <w:t>の提供に関する諸記録」と、「健康保険の例によって」とあるのは「健康保険の例によって</w:t>
      </w:r>
      <w:r>
        <w:rPr>
          <w:rFonts w:hint="default"/>
        </w:rPr>
        <w:t>(</w:t>
      </w:r>
      <w:r>
        <w:rPr>
          <w:rFonts w:hint="default"/>
        </w:rPr>
        <w:t>指定居宅サービス事業者又は指定介護予防サービス事業者にあっては介護保険の例によって</w:t>
      </w:r>
      <w:r>
        <w:rPr>
          <w:rFonts w:hint="default"/>
        </w:rPr>
        <w:t>)</w:t>
      </w:r>
      <w:r>
        <w:rPr>
          <w:rFonts w:hint="default"/>
        </w:rPr>
        <w:t>」と、それぞれ読み替えて適用する。</w:t>
      </w:r>
    </w:p>
    <w:p>
      <w:pPr>
        <w:pStyle w:val="0"/>
        <w:rPr>
          <w:rFonts w:hint="default"/>
        </w:rPr>
      </w:pPr>
      <w:r>
        <w:rPr>
          <w:rFonts w:hint="default"/>
        </w:rPr>
        <w:t>(</w:t>
      </w:r>
      <w:r>
        <w:rPr>
          <w:rFonts w:hint="default"/>
        </w:rPr>
        <w:t>平二〇厚労告一六一・平二五厚労告二三・平二七厚労告一九五・一部改正</w:t>
      </w:r>
      <w:r>
        <w:rPr>
          <w:rFonts w:hint="default"/>
        </w:rPr>
        <w:t>)</w:t>
      </w:r>
    </w:p>
    <w:p>
      <w:pPr>
        <w:pStyle w:val="0"/>
        <w:rPr>
          <w:rFonts w:hint="default"/>
        </w:rPr>
      </w:pPr>
      <w:r>
        <w:rPr>
          <w:rFonts w:hint="default"/>
        </w:rPr>
        <w:t>(</w:t>
      </w:r>
      <w:r>
        <w:rPr>
          <w:rFonts w:hint="default"/>
        </w:rPr>
        <w:t>薬局に関する特例</w:t>
      </w:r>
      <w:r>
        <w:rPr>
          <w:rFonts w:hint="default"/>
        </w:rPr>
        <w:t>)</w:t>
      </w:r>
    </w:p>
    <w:p>
      <w:pPr>
        <w:pStyle w:val="0"/>
        <w:rPr>
          <w:rFonts w:hint="default"/>
        </w:rPr>
      </w:pPr>
      <w:r>
        <w:rPr>
          <w:rFonts w:hint="default"/>
        </w:rPr>
        <w:t>第十一条　指定自立支援医療機関である薬局にあっては、第三条第二項及び第五条の規定は適用せず、第七条中「診療録」とあるのは「調剤録」と読み替えて適用する。</w:t>
      </w:r>
    </w:p>
    <w:p>
      <w:pPr>
        <w:pStyle w:val="0"/>
        <w:rPr>
          <w:rFonts w:hint="default"/>
        </w:rPr>
      </w:pPr>
      <w:r>
        <w:rPr>
          <w:rFonts w:hint="default"/>
        </w:rPr>
        <w:t>改正文　</w:t>
      </w:r>
      <w:r>
        <w:rPr>
          <w:rFonts w:hint="default"/>
        </w:rPr>
        <w:t>(</w:t>
      </w:r>
      <w:r>
        <w:rPr>
          <w:rFonts w:hint="default"/>
        </w:rPr>
        <w:t>平成二〇年三月三一日厚生労働省告示第一六一号</w:t>
      </w:r>
      <w:r>
        <w:rPr>
          <w:rFonts w:hint="default"/>
        </w:rPr>
        <w:t>)</w:t>
      </w:r>
      <w:r>
        <w:rPr>
          <w:rFonts w:hint="default"/>
        </w:rPr>
        <w:t>　抄</w:t>
      </w:r>
    </w:p>
    <w:p>
      <w:pPr>
        <w:pStyle w:val="0"/>
        <w:rPr>
          <w:rFonts w:hint="default"/>
        </w:rPr>
      </w:pPr>
      <w:r>
        <w:rPr>
          <w:rFonts w:hint="default"/>
        </w:rPr>
        <w:t>平成二十年四月一日から適用する。</w:t>
      </w:r>
    </w:p>
    <w:p>
      <w:pPr>
        <w:pStyle w:val="0"/>
        <w:rPr>
          <w:rFonts w:hint="default"/>
        </w:rPr>
      </w:pPr>
      <w:r>
        <w:rPr>
          <w:rFonts w:hint="default"/>
        </w:rPr>
        <w:t>改正文　</w:t>
      </w:r>
      <w:r>
        <w:rPr>
          <w:rFonts w:hint="default"/>
        </w:rPr>
        <w:t>(</w:t>
      </w:r>
      <w:r>
        <w:rPr>
          <w:rFonts w:hint="default"/>
        </w:rPr>
        <w:t>平成二五年一月一八日厚生労働省告示第六号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平成二五年二月一五日厚生労働省告示第二三号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平成二七年三月三一日厚生労働省告示第一九五号</w:t>
      </w:r>
      <w:r>
        <w:rPr>
          <w:rFonts w:hint="default"/>
        </w:rPr>
        <w:t>)</w:t>
      </w:r>
      <w:r>
        <w:rPr>
          <w:rFonts w:hint="default"/>
        </w:rPr>
        <w:t>　抄</w:t>
      </w:r>
    </w:p>
    <w:p>
      <w:pPr>
        <w:pStyle w:val="0"/>
        <w:ind w:left="0" w:leftChars="0" w:firstLine="2730" w:firstLineChars="1300"/>
        <w:rPr>
          <w:rFonts w:hint="eastAsia" w:asciiTheme="minorEastAsia" w:hAnsiTheme="minorEastAsia" w:eastAsiaTheme="minorEastAsia"/>
        </w:rPr>
      </w:pPr>
      <w:r>
        <w:rPr>
          <w:rFonts w:hint="default"/>
        </w:rPr>
        <w:t>平成二十七年四月一日から適用する。</w:t>
      </w:r>
    </w:p>
    <w:p>
      <w:pPr>
        <w:pStyle w:val="0"/>
        <w:ind w:left="0" w:leftChars="0" w:firstLine="2730" w:firstLineChars="1300"/>
        <w:rPr>
          <w:rFonts w:hint="eastAsia" w:asciiTheme="minorEastAsia" w:hAnsiTheme="minorEastAsia" w:eastAsiaTheme="minorEastAsia"/>
        </w:rPr>
      </w:pPr>
      <w:r>
        <w:rPr>
          <w:rFonts w:hint="eastAsia"/>
        </w:rPr>
        <w:br w:type="page"/>
      </w:r>
    </w:p>
    <w:p>
      <w:pPr>
        <w:pStyle w:val="0"/>
        <w:autoSpaceDE w:val="0"/>
        <w:autoSpaceDN w:val="0"/>
        <w:adjustRightInd w:val="0"/>
        <w:spacing w:line="0" w:lineRule="atLeast"/>
        <w:jc w:val="right"/>
        <w:rPr>
          <w:rFonts w:hint="eastAsia" w:ascii="HGPｺﾞｼｯｸM" w:hAnsi="HGPｺﾞｼｯｸM" w:eastAsia="HGPｺﾞｼｯｸM"/>
          <w:b w:val="1"/>
          <w:kern w:val="0"/>
        </w:rPr>
      </w:pPr>
      <w:r>
        <w:rPr>
          <w:rFonts w:hint="eastAsia" w:ascii="HGPｺﾞｼｯｸM" w:hAnsi="HGPｺﾞｼｯｸM" w:eastAsia="HGPｺﾞｼｯｸM"/>
          <w:b w:val="1"/>
          <w:kern w:val="0"/>
        </w:rPr>
        <w:t>（参考）</w:t>
      </w:r>
    </w:p>
    <w:p>
      <w:pPr>
        <w:pStyle w:val="0"/>
        <w:autoSpaceDE w:val="0"/>
        <w:autoSpaceDN w:val="0"/>
        <w:adjustRightInd w:val="0"/>
        <w:spacing w:line="0" w:lineRule="atLeast"/>
        <w:rPr>
          <w:rFonts w:hint="eastAsia" w:ascii="HGPｺﾞｼｯｸM" w:hAnsi="HGPｺﾞｼｯｸM" w:eastAsia="HGPｺﾞｼｯｸM"/>
          <w:b w:val="1"/>
          <w:kern w:val="0"/>
        </w:rPr>
      </w:pPr>
      <w:r>
        <w:rPr>
          <w:rFonts w:hint="eastAsia" w:ascii="HGPｺﾞｼｯｸM" w:hAnsi="HGPｺﾞｼｯｸM" w:eastAsia="HGPｺﾞｼｯｸM"/>
          <w:b w:val="1"/>
          <w:kern w:val="0"/>
        </w:rPr>
        <w:t>○指定自立支援医療機関</w:t>
      </w:r>
      <w:r>
        <w:rPr>
          <w:rFonts w:hint="eastAsia" w:ascii="HGPｺﾞｼｯｸM" w:hAnsi="HGPｺﾞｼｯｸM" w:eastAsia="HGPｺﾞｼｯｸM"/>
          <w:b w:val="1"/>
          <w:kern w:val="0"/>
        </w:rPr>
        <w:t>(</w:t>
      </w:r>
      <w:r>
        <w:rPr>
          <w:rFonts w:hint="eastAsia" w:ascii="HGPｺﾞｼｯｸM" w:hAnsi="HGPｺﾞｼｯｸM" w:eastAsia="HGPｺﾞｼｯｸM"/>
          <w:b w:val="1"/>
          <w:kern w:val="0"/>
        </w:rPr>
        <w:t>精神通院医療</w:t>
      </w:r>
      <w:r>
        <w:rPr>
          <w:rFonts w:hint="eastAsia" w:ascii="HGPｺﾞｼｯｸM" w:hAnsi="HGPｺﾞｼｯｸM" w:eastAsia="HGPｺﾞｼｯｸM"/>
          <w:b w:val="1"/>
          <w:kern w:val="0"/>
        </w:rPr>
        <w:t>)</w:t>
      </w:r>
      <w:r>
        <w:rPr>
          <w:rFonts w:hint="eastAsia" w:ascii="HGPｺﾞｼｯｸM" w:hAnsi="HGPｺﾞｼｯｸM" w:eastAsia="HGPｺﾞｼｯｸM"/>
          <w:b w:val="1"/>
          <w:kern w:val="0"/>
        </w:rPr>
        <w:t>療養担当規程</w:t>
      </w:r>
    </w:p>
    <w:p>
      <w:pPr>
        <w:pStyle w:val="0"/>
        <w:rPr>
          <w:rFonts w:hint="default"/>
        </w:rPr>
      </w:pPr>
      <w:r>
        <w:rPr>
          <w:rFonts w:hint="default"/>
        </w:rPr>
        <w:t>(</w:t>
      </w:r>
      <w:r>
        <w:rPr>
          <w:rFonts w:hint="default"/>
        </w:rPr>
        <w:t>平成十八年二月二十八日</w:t>
      </w:r>
      <w:r>
        <w:rPr>
          <w:rFonts w:hint="default"/>
        </w:rPr>
        <w:t>)</w:t>
      </w:r>
    </w:p>
    <w:p>
      <w:pPr>
        <w:pStyle w:val="0"/>
        <w:rPr>
          <w:rFonts w:hint="default"/>
        </w:rPr>
      </w:pPr>
      <w:r>
        <w:rPr>
          <w:rFonts w:hint="default"/>
        </w:rPr>
        <w:t>(</w:t>
      </w:r>
      <w:r>
        <w:rPr>
          <w:rFonts w:hint="default"/>
        </w:rPr>
        <w:t>厚生労働省告示第六十六号</w:t>
      </w:r>
      <w:r>
        <w:rPr>
          <w:rFonts w:hint="default"/>
        </w:rPr>
        <w:t>)</w:t>
      </w:r>
    </w:p>
    <w:p>
      <w:pPr>
        <w:pStyle w:val="0"/>
        <w:rPr>
          <w:rFonts w:hint="default"/>
        </w:rPr>
      </w:pPr>
      <w:r>
        <w:rPr>
          <w:rFonts w:hint="default"/>
        </w:rPr>
        <w:t>障害者自立支援法施行規則</w:t>
      </w:r>
      <w:r>
        <w:rPr>
          <w:rFonts w:hint="default"/>
        </w:rPr>
        <w:t>(</w:t>
      </w:r>
      <w:r>
        <w:rPr>
          <w:rFonts w:hint="default"/>
        </w:rPr>
        <w:t>平成十八年厚生労働省令第十九号</w:t>
      </w:r>
      <w:r>
        <w:rPr>
          <w:rFonts w:hint="default"/>
        </w:rPr>
        <w:t>)</w:t>
      </w:r>
      <w:r>
        <w:rPr>
          <w:rFonts w:hint="default"/>
        </w:rPr>
        <w:t>第六十条の規定に基づき、指定自立支援医療機関</w:t>
      </w:r>
      <w:r>
        <w:rPr>
          <w:rFonts w:hint="default"/>
        </w:rPr>
        <w:t>(</w:t>
      </w:r>
      <w:r>
        <w:rPr>
          <w:rFonts w:hint="default"/>
        </w:rPr>
        <w:t>精神通院医療</w:t>
      </w:r>
      <w:r>
        <w:rPr>
          <w:rFonts w:hint="default"/>
        </w:rPr>
        <w:t>)</w:t>
      </w:r>
      <w:r>
        <w:rPr>
          <w:rFonts w:hint="default"/>
        </w:rPr>
        <w:t>療養担当規程を次のように定め、平成十八年四月一日から適用する。</w:t>
      </w:r>
    </w:p>
    <w:p>
      <w:pPr>
        <w:pStyle w:val="0"/>
        <w:rPr>
          <w:rFonts w:hint="default"/>
        </w:rPr>
      </w:pPr>
      <w:r>
        <w:rPr>
          <w:rFonts w:hint="default"/>
        </w:rPr>
        <w:t>指定自立支援医療機関</w:t>
      </w:r>
      <w:r>
        <w:rPr>
          <w:rFonts w:hint="default"/>
        </w:rPr>
        <w:t>(</w:t>
      </w:r>
      <w:r>
        <w:rPr>
          <w:rFonts w:hint="default"/>
        </w:rPr>
        <w:t>精神通院医療</w:t>
      </w:r>
      <w:r>
        <w:rPr>
          <w:rFonts w:hint="default"/>
        </w:rPr>
        <w:t>)</w:t>
      </w:r>
      <w:r>
        <w:rPr>
          <w:rFonts w:hint="default"/>
        </w:rPr>
        <w:t>療養担当規程</w:t>
      </w:r>
    </w:p>
    <w:p>
      <w:pPr>
        <w:pStyle w:val="0"/>
        <w:rPr>
          <w:rFonts w:hint="default"/>
        </w:rPr>
      </w:pPr>
      <w:r>
        <w:rPr>
          <w:rFonts w:hint="default"/>
        </w:rPr>
        <w:t>(</w:t>
      </w:r>
      <w:r>
        <w:rPr>
          <w:rFonts w:hint="default"/>
        </w:rPr>
        <w:t>指定自立支援医療機関の義務</w:t>
      </w:r>
      <w:r>
        <w:rPr>
          <w:rFonts w:hint="default"/>
        </w:rPr>
        <w:t>)</w:t>
      </w:r>
    </w:p>
    <w:p>
      <w:pPr>
        <w:pStyle w:val="0"/>
        <w:rPr>
          <w:rFonts w:hint="default"/>
        </w:rPr>
      </w:pPr>
      <w:r>
        <w:rPr>
          <w:rFonts w:hint="default"/>
        </w:rPr>
        <w:t>第一条　障害者の日常生活及び社会生活を総合的に支援するための法律施行令</w:t>
      </w:r>
      <w:r>
        <w:rPr>
          <w:rFonts w:hint="default"/>
        </w:rPr>
        <w:t>(</w:t>
      </w:r>
      <w:r>
        <w:rPr>
          <w:rFonts w:hint="default"/>
        </w:rPr>
        <w:t>平成十八年政令第十号</w:t>
      </w:r>
      <w:r>
        <w:rPr>
          <w:rFonts w:hint="default"/>
        </w:rPr>
        <w:t>)</w:t>
      </w:r>
      <w:r>
        <w:rPr>
          <w:rFonts w:hint="default"/>
        </w:rPr>
        <w:t>第一条の二第三号に規定する精神通院医療</w:t>
      </w:r>
      <w:r>
        <w:rPr>
          <w:rFonts w:hint="default"/>
        </w:rPr>
        <w:t>(</w:t>
      </w:r>
      <w:r>
        <w:rPr>
          <w:rFonts w:hint="default"/>
        </w:rPr>
        <w:t>以下「精神通院医療」という。</w:t>
      </w:r>
      <w:r>
        <w:rPr>
          <w:rFonts w:hint="default"/>
        </w:rPr>
        <w:t>)</w:t>
      </w:r>
      <w:r>
        <w:rPr>
          <w:rFonts w:hint="default"/>
        </w:rPr>
        <w:t>を行う指定自立支援医療機関</w:t>
      </w:r>
      <w:r>
        <w:rPr>
          <w:rFonts w:hint="default"/>
        </w:rPr>
        <w:t>(</w:t>
      </w:r>
      <w:r>
        <w:rPr>
          <w:rFonts w:hint="default"/>
        </w:rPr>
        <w:t>障害者の日常生活及び社会生活を総合的に支援するための法律</w:t>
      </w:r>
      <w:r>
        <w:rPr>
          <w:rFonts w:hint="default"/>
        </w:rPr>
        <w:t>(</w:t>
      </w:r>
      <w:r>
        <w:rPr>
          <w:rFonts w:hint="default"/>
        </w:rPr>
        <w:t>平成十七年法律第百二十三号。以下「法」という。</w:t>
      </w:r>
      <w:r>
        <w:rPr>
          <w:rFonts w:hint="default"/>
        </w:rPr>
        <w:t>)</w:t>
      </w:r>
      <w:r>
        <w:rPr>
          <w:rFonts w:hint="default"/>
        </w:rPr>
        <w:t>第五十四条第二項に規定する指定自立支援医療機関をいう。以下同じ。</w:t>
      </w:r>
      <w:r>
        <w:rPr>
          <w:rFonts w:hint="default"/>
        </w:rPr>
        <w:t>)</w:t>
      </w:r>
      <w:r>
        <w:rPr>
          <w:rFonts w:hint="default"/>
        </w:rPr>
        <w:t>は、法及び障害者の日常生活及び社会生活を総合的に支援するための法律施行規則</w:t>
      </w:r>
      <w:r>
        <w:rPr>
          <w:rFonts w:hint="default"/>
        </w:rPr>
        <w:t>(</w:t>
      </w:r>
      <w:r>
        <w:rPr>
          <w:rFonts w:hint="default"/>
        </w:rPr>
        <w:t>平成十八年厚生労働省令第十九号。以下「規則」という。</w:t>
      </w:r>
      <w:r>
        <w:rPr>
          <w:rFonts w:hint="default"/>
        </w:rPr>
        <w:t>)</w:t>
      </w:r>
      <w:r>
        <w:rPr>
          <w:rFonts w:hint="default"/>
        </w:rPr>
        <w:t>の定めるところによるほか、この規程の定めるところにより、法の規定による自立支援医療を担当しなければならない。</w:t>
      </w:r>
    </w:p>
    <w:p>
      <w:pPr>
        <w:pStyle w:val="0"/>
        <w:rPr>
          <w:rFonts w:hint="default"/>
        </w:rPr>
      </w:pPr>
      <w:r>
        <w:rPr>
          <w:rFonts w:hint="default"/>
        </w:rPr>
        <w:t>(</w:t>
      </w:r>
      <w:r>
        <w:rPr>
          <w:rFonts w:hint="default"/>
        </w:rPr>
        <w:t>平二五厚労告六・一部改正</w:t>
      </w:r>
      <w:r>
        <w:rPr>
          <w:rFonts w:hint="default"/>
        </w:rPr>
        <w:t>)</w:t>
      </w:r>
    </w:p>
    <w:p>
      <w:pPr>
        <w:pStyle w:val="0"/>
        <w:rPr>
          <w:rFonts w:hint="default"/>
        </w:rPr>
      </w:pPr>
      <w:r>
        <w:rPr>
          <w:rFonts w:hint="default"/>
        </w:rPr>
        <w:t>(</w:t>
      </w:r>
      <w:r>
        <w:rPr>
          <w:rFonts w:hint="default"/>
        </w:rPr>
        <w:t>診療の拒否の禁止</w:t>
      </w:r>
      <w:r>
        <w:rPr>
          <w:rFonts w:hint="default"/>
        </w:rPr>
        <w:t>)</w:t>
      </w:r>
    </w:p>
    <w:p>
      <w:pPr>
        <w:pStyle w:val="0"/>
        <w:rPr>
          <w:rFonts w:hint="default"/>
        </w:rPr>
      </w:pPr>
      <w:r>
        <w:rPr>
          <w:rFonts w:hint="default"/>
        </w:rPr>
        <w:t>第二条　指定自立支援医療機関は、自立支援医療を受ける障害者又は障害児</w:t>
      </w:r>
      <w:r>
        <w:rPr>
          <w:rFonts w:hint="default"/>
        </w:rPr>
        <w:t>(</w:t>
      </w:r>
      <w:r>
        <w:rPr>
          <w:rFonts w:hint="default"/>
        </w:rPr>
        <w:t>精神通院医療を受ける者に限る。以下「受診者」という。</w:t>
      </w:r>
      <w:r>
        <w:rPr>
          <w:rFonts w:hint="default"/>
        </w:rPr>
        <w:t>)</w:t>
      </w:r>
      <w:r>
        <w:rPr>
          <w:rFonts w:hint="default"/>
        </w:rPr>
        <w:t>の診療を正当な理由がなく拒んではならない。</w:t>
      </w:r>
    </w:p>
    <w:p>
      <w:pPr>
        <w:pStyle w:val="0"/>
        <w:rPr>
          <w:rFonts w:hint="default"/>
        </w:rPr>
      </w:pPr>
      <w:r>
        <w:rPr>
          <w:rFonts w:hint="default"/>
        </w:rPr>
        <w:t>(</w:t>
      </w:r>
      <w:r>
        <w:rPr>
          <w:rFonts w:hint="default"/>
        </w:rPr>
        <w:t>診療開始時の注意</w:t>
      </w:r>
      <w:r>
        <w:rPr>
          <w:rFonts w:hint="default"/>
        </w:rPr>
        <w:t>)</w:t>
      </w:r>
    </w:p>
    <w:p>
      <w:pPr>
        <w:pStyle w:val="0"/>
        <w:rPr>
          <w:rFonts w:hint="default"/>
        </w:rPr>
      </w:pPr>
      <w:r>
        <w:rPr>
          <w:rFonts w:hint="default"/>
        </w:rPr>
        <w:t>第三条　指定自立支援医療機関は、障害者又は障害児の保護者から法第五十四条第三項に規定する医療受給者証</w:t>
      </w:r>
      <w:r>
        <w:rPr>
          <w:rFonts w:hint="default"/>
        </w:rPr>
        <w:t>(</w:t>
      </w:r>
      <w:r>
        <w:rPr>
          <w:rFonts w:hint="default"/>
        </w:rPr>
        <w:t>以下「受給者証」という。</w:t>
      </w:r>
      <w:r>
        <w:rPr>
          <w:rFonts w:hint="default"/>
        </w:rPr>
        <w:t>)</w:t>
      </w:r>
      <w:r>
        <w:rPr>
          <w:rFonts w:hint="default"/>
        </w:rPr>
        <w:t>を提出して受診者の診療を求められたときは、その受給者証が有効であることを確かめた後でなければ診療をしてはならない。</w:t>
      </w:r>
    </w:p>
    <w:p>
      <w:pPr>
        <w:pStyle w:val="0"/>
        <w:rPr>
          <w:rFonts w:hint="default"/>
        </w:rPr>
      </w:pPr>
      <w:r>
        <w:rPr>
          <w:rFonts w:hint="default"/>
        </w:rPr>
        <w:t>(</w:t>
      </w:r>
      <w:r>
        <w:rPr>
          <w:rFonts w:hint="default"/>
        </w:rPr>
        <w:t>診療時間</w:t>
      </w:r>
      <w:r>
        <w:rPr>
          <w:rFonts w:hint="default"/>
        </w:rPr>
        <w:t>)</w:t>
      </w:r>
    </w:p>
    <w:p>
      <w:pPr>
        <w:pStyle w:val="0"/>
        <w:rPr>
          <w:rFonts w:hint="default"/>
        </w:rPr>
      </w:pPr>
      <w:r>
        <w:rPr>
          <w:rFonts w:hint="default"/>
        </w:rP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pPr>
        <w:pStyle w:val="0"/>
        <w:rPr>
          <w:rFonts w:hint="default"/>
        </w:rPr>
      </w:pPr>
      <w:r>
        <w:rPr>
          <w:rFonts w:hint="default"/>
        </w:rPr>
        <w:t>(</w:t>
      </w:r>
      <w:r>
        <w:rPr>
          <w:rFonts w:hint="default"/>
        </w:rPr>
        <w:t>診療録</w:t>
      </w:r>
      <w:r>
        <w:rPr>
          <w:rFonts w:hint="default"/>
        </w:rPr>
        <w:t>)</w:t>
      </w:r>
    </w:p>
    <w:p>
      <w:pPr>
        <w:pStyle w:val="0"/>
        <w:rPr>
          <w:rFonts w:hint="default"/>
        </w:rPr>
      </w:pPr>
      <w:r>
        <w:rPr>
          <w:rFonts w:hint="default"/>
        </w:rPr>
        <w:t>第五条　指定自立支援医療機関は、受診者に関する診療録に健康保険の例によって医療の担当に関し必要な事項を記載しなければならない。</w:t>
      </w:r>
    </w:p>
    <w:p>
      <w:pPr>
        <w:pStyle w:val="0"/>
        <w:rPr>
          <w:rFonts w:hint="default"/>
        </w:rPr>
      </w:pPr>
      <w:r>
        <w:rPr>
          <w:rFonts w:hint="default"/>
        </w:rPr>
        <w:t>(</w:t>
      </w:r>
      <w:r>
        <w:rPr>
          <w:rFonts w:hint="default"/>
        </w:rPr>
        <w:t>帳簿</w:t>
      </w:r>
      <w:r>
        <w:rPr>
          <w:rFonts w:hint="default"/>
        </w:rPr>
        <w:t>)</w:t>
      </w:r>
    </w:p>
    <w:p>
      <w:pPr>
        <w:pStyle w:val="0"/>
        <w:rPr>
          <w:rFonts w:hint="default"/>
        </w:rPr>
      </w:pPr>
      <w:r>
        <w:rPr>
          <w:rFonts w:hint="default"/>
        </w:rPr>
        <w:t>第六条　指定自立支援医療機関は、診療及び診療報酬の請求に関する帳簿及びその他の物件をその完結の日から五年間保存しなければならない。</w:t>
      </w:r>
    </w:p>
    <w:p>
      <w:pPr>
        <w:pStyle w:val="0"/>
        <w:rPr>
          <w:rFonts w:hint="default"/>
        </w:rPr>
      </w:pPr>
      <w:r>
        <w:rPr>
          <w:rFonts w:hint="default"/>
        </w:rPr>
        <w:t>(</w:t>
      </w:r>
      <w:r>
        <w:rPr>
          <w:rFonts w:hint="default"/>
        </w:rPr>
        <w:t>通知</w:t>
      </w:r>
      <w:r>
        <w:rPr>
          <w:rFonts w:hint="default"/>
        </w:rPr>
        <w:t>)</w:t>
      </w:r>
    </w:p>
    <w:p>
      <w:pPr>
        <w:pStyle w:val="0"/>
        <w:rPr>
          <w:rFonts w:hint="default"/>
        </w:rPr>
      </w:pPr>
      <w:r>
        <w:rPr>
          <w:rFonts w:hint="default"/>
        </w:rPr>
        <w:t>第七条　指定自立支援医療機関が受診者について次の各号のいずれかに該当する事実のあることを知った場合には、速やかに、意見を付して受給者証を交付した市町村等に通知しなければならない。</w:t>
      </w:r>
    </w:p>
    <w:p>
      <w:pPr>
        <w:pStyle w:val="0"/>
        <w:rPr>
          <w:rFonts w:hint="default"/>
        </w:rPr>
      </w:pPr>
      <w:r>
        <w:rPr>
          <w:rFonts w:hint="default"/>
        </w:rPr>
        <w:t>一　受診者が正当な理由なく、診療に関する指導に従わないとき。</w:t>
      </w:r>
    </w:p>
    <w:p>
      <w:pPr>
        <w:pStyle w:val="0"/>
        <w:rPr>
          <w:rFonts w:hint="default"/>
        </w:rPr>
      </w:pPr>
      <w:r>
        <w:rPr>
          <w:rFonts w:hint="default"/>
        </w:rPr>
        <w:t>二　受診者が詐欺その他不正な手段による診療を受け、又は受けようとしたとき。</w:t>
      </w:r>
    </w:p>
    <w:p>
      <w:pPr>
        <w:pStyle w:val="0"/>
        <w:rPr>
          <w:rFonts w:hint="default"/>
        </w:rPr>
      </w:pPr>
      <w:r>
        <w:rPr>
          <w:rFonts w:hint="default"/>
        </w:rPr>
        <w:t>(</w:t>
      </w:r>
      <w:r>
        <w:rPr>
          <w:rFonts w:hint="default"/>
        </w:rPr>
        <w:t>指定訪問看護事業者等に関する特例</w:t>
      </w:r>
      <w:r>
        <w:rPr>
          <w:rFonts w:hint="default"/>
        </w:rPr>
        <w:t>)</w:t>
      </w:r>
    </w:p>
    <w:p>
      <w:pPr>
        <w:pStyle w:val="0"/>
        <w:rPr>
          <w:rFonts w:hint="default"/>
        </w:rPr>
      </w:pPr>
      <w:r>
        <w:rPr>
          <w:rFonts w:hint="default"/>
        </w:rPr>
        <w:t>第八条　指定自立支援医療機関である健康保険法</w:t>
      </w:r>
      <w:r>
        <w:rPr>
          <w:rFonts w:hint="default"/>
        </w:rPr>
        <w:t>(</w:t>
      </w:r>
      <w:r>
        <w:rPr>
          <w:rFonts w:hint="default"/>
        </w:rPr>
        <w:t>大正十一年法律第七十号</w:t>
      </w:r>
      <w:r>
        <w:rPr>
          <w:rFonts w:hint="default"/>
        </w:rPr>
        <w:t>)</w:t>
      </w:r>
      <w:r>
        <w:rPr>
          <w:rFonts w:hint="default"/>
        </w:rPr>
        <w:t>第八十八条第一項に規定する指定訪問看護事業者又は介護保険法</w:t>
      </w:r>
      <w:r>
        <w:rPr>
          <w:rFonts w:hint="default"/>
        </w:rPr>
        <w:t>(</w:t>
      </w:r>
      <w:r>
        <w:rPr>
          <w:rFonts w:hint="default"/>
        </w:rPr>
        <w:t>平成九年法律第百二十三号</w:t>
      </w:r>
      <w:r>
        <w:rPr>
          <w:rFonts w:hint="default"/>
        </w:rPr>
        <w:t>)</w:t>
      </w:r>
      <w:r>
        <w:rPr>
          <w:rFonts w:hint="default"/>
        </w:rPr>
        <w:t>第四十一条第一項に規定する指定居宅サービス事業者</w:t>
      </w:r>
      <w:r>
        <w:rPr>
          <w:rFonts w:hint="default"/>
        </w:rPr>
        <w:t>(</w:t>
      </w:r>
      <w:r>
        <w:rPr>
          <w:rFonts w:hint="default"/>
        </w:rPr>
        <w:t>同法第八条第四項に規定する訪問看護を行う者に限る。</w:t>
      </w:r>
      <w:r>
        <w:rPr>
          <w:rFonts w:hint="default"/>
        </w:rPr>
        <w:t>)</w:t>
      </w:r>
      <w:r>
        <w:rPr>
          <w:rFonts w:hint="default"/>
        </w:rPr>
        <w:t>若しくは同法第五十三条第一項に規定する指定介護予防サービス事業者</w:t>
      </w:r>
      <w:r>
        <w:rPr>
          <w:rFonts w:hint="default"/>
        </w:rPr>
        <w:t>(</w:t>
      </w:r>
      <w:r>
        <w:rPr>
          <w:rFonts w:hint="default"/>
        </w:rPr>
        <w:t>同法第八条の二第三項に規定する介護予防訪問看護を行う者に限る。</w:t>
      </w:r>
      <w:r>
        <w:rPr>
          <w:rFonts w:hint="default"/>
        </w:rPr>
        <w:t>)</w:t>
      </w:r>
      <w:r>
        <w:rPr>
          <w:rFonts w:hint="default"/>
        </w:rPr>
        <w:t>にあっては、第五条中「関する診療録」とあるのは「対する指定訪問看護又は指定居宅サービス</w:t>
      </w:r>
      <w:r>
        <w:rPr>
          <w:rFonts w:hint="default"/>
        </w:rPr>
        <w:t>(</w:t>
      </w:r>
      <w:r>
        <w:rPr>
          <w:rFonts w:hint="default"/>
        </w:rPr>
        <w:t>訪問看護に限る。</w:t>
      </w:r>
      <w:r>
        <w:rPr>
          <w:rFonts w:hint="default"/>
        </w:rPr>
        <w:t>)</w:t>
      </w:r>
      <w:r>
        <w:rPr>
          <w:rFonts w:hint="default"/>
        </w:rPr>
        <w:t>若しくは指定介護予防サービス</w:t>
      </w:r>
      <w:r>
        <w:rPr>
          <w:rFonts w:hint="default"/>
        </w:rPr>
        <w:t>(</w:t>
      </w:r>
      <w:r>
        <w:rPr>
          <w:rFonts w:hint="default"/>
        </w:rPr>
        <w:t>介護予防訪問看護に限る。</w:t>
      </w:r>
      <w:r>
        <w:rPr>
          <w:rFonts w:hint="default"/>
        </w:rPr>
        <w:t>)</w:t>
      </w:r>
      <w:r>
        <w:rPr>
          <w:rFonts w:hint="default"/>
        </w:rPr>
        <w:t>の提供に関する諸記録」と、「健康保険の例によって」とあるのは「健康保険の例によって</w:t>
      </w:r>
      <w:r>
        <w:rPr>
          <w:rFonts w:hint="default"/>
        </w:rPr>
        <w:t>(</w:t>
      </w:r>
      <w:r>
        <w:rPr>
          <w:rFonts w:hint="default"/>
        </w:rPr>
        <w:t>指定居宅サービス事業者又は指定介護予防サービス事業者にあっては介護保険の例によって</w:t>
      </w:r>
      <w:r>
        <w:rPr>
          <w:rFonts w:hint="default"/>
        </w:rPr>
        <w:t>)</w:t>
      </w:r>
      <w:r>
        <w:rPr>
          <w:rFonts w:hint="default"/>
        </w:rPr>
        <w:t>」と、それぞれ読み替えて適用する。</w:t>
      </w:r>
    </w:p>
    <w:p>
      <w:pPr>
        <w:pStyle w:val="0"/>
        <w:rPr>
          <w:rFonts w:hint="default"/>
        </w:rPr>
      </w:pPr>
      <w:r>
        <w:rPr>
          <w:rFonts w:hint="default"/>
        </w:rPr>
        <w:t>(</w:t>
      </w:r>
      <w:r>
        <w:rPr>
          <w:rFonts w:hint="default"/>
        </w:rPr>
        <w:t>平二〇厚労告一六一・平二五厚労告二三・平二七厚労告一九五・一部改正</w:t>
      </w:r>
      <w:r>
        <w:rPr>
          <w:rFonts w:hint="default"/>
        </w:rPr>
        <w:t>)</w:t>
      </w:r>
    </w:p>
    <w:p>
      <w:pPr>
        <w:pStyle w:val="0"/>
        <w:rPr>
          <w:rFonts w:hint="default"/>
        </w:rPr>
      </w:pPr>
      <w:r>
        <w:rPr>
          <w:rFonts w:hint="default"/>
        </w:rPr>
        <w:t>(</w:t>
      </w:r>
      <w:r>
        <w:rPr>
          <w:rFonts w:hint="default"/>
        </w:rPr>
        <w:t>薬局に関する特例</w:t>
      </w:r>
      <w:r>
        <w:rPr>
          <w:rFonts w:hint="default"/>
        </w:rPr>
        <w:t>)</w:t>
      </w:r>
    </w:p>
    <w:p>
      <w:pPr>
        <w:pStyle w:val="0"/>
        <w:rPr>
          <w:rFonts w:hint="default"/>
        </w:rPr>
      </w:pPr>
      <w:r>
        <w:rPr>
          <w:rFonts w:hint="default"/>
        </w:rPr>
        <w:t>第九条　指定自立支援医療機関である薬局にあっては、第五条中「診療録」とあるのは「調剤録」と読み替えて適用する。</w:t>
      </w:r>
    </w:p>
    <w:p>
      <w:pPr>
        <w:pStyle w:val="0"/>
        <w:rPr>
          <w:rFonts w:hint="default"/>
        </w:rPr>
      </w:pPr>
      <w:r>
        <w:rPr>
          <w:rFonts w:hint="default"/>
        </w:rPr>
        <w:t>改正文　</w:t>
      </w:r>
      <w:r>
        <w:rPr>
          <w:rFonts w:hint="default"/>
        </w:rPr>
        <w:t>(</w:t>
      </w:r>
      <w:r>
        <w:rPr>
          <w:rFonts w:hint="default"/>
        </w:rPr>
        <w:t>平成二〇年三月三一日厚生労働省告示第一六一号</w:t>
      </w:r>
      <w:r>
        <w:rPr>
          <w:rFonts w:hint="default"/>
        </w:rPr>
        <w:t>)</w:t>
      </w:r>
      <w:r>
        <w:rPr>
          <w:rFonts w:hint="default"/>
        </w:rPr>
        <w:t>　抄</w:t>
      </w:r>
    </w:p>
    <w:p>
      <w:pPr>
        <w:pStyle w:val="0"/>
        <w:rPr>
          <w:rFonts w:hint="default"/>
        </w:rPr>
      </w:pPr>
      <w:r>
        <w:rPr>
          <w:rFonts w:hint="default"/>
        </w:rPr>
        <w:t>平成二十年四月一日から適用する。</w:t>
      </w:r>
    </w:p>
    <w:p>
      <w:pPr>
        <w:pStyle w:val="0"/>
        <w:rPr>
          <w:rFonts w:hint="default"/>
        </w:rPr>
      </w:pPr>
      <w:r>
        <w:rPr>
          <w:rFonts w:hint="default"/>
        </w:rPr>
        <w:t>改正文　</w:t>
      </w:r>
      <w:r>
        <w:rPr>
          <w:rFonts w:hint="default"/>
        </w:rPr>
        <w:t>(</w:t>
      </w:r>
      <w:r>
        <w:rPr>
          <w:rFonts w:hint="default"/>
        </w:rPr>
        <w:t>平成二五年一月一八日厚生労働省告示第六号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平成二五年二月一五日厚生労働省告示第二三号</w:t>
      </w:r>
      <w:r>
        <w:rPr>
          <w:rFonts w:hint="default"/>
        </w:rPr>
        <w:t>)</w:t>
      </w:r>
      <w:r>
        <w:rPr>
          <w:rFonts w:hint="default"/>
        </w:rPr>
        <w:t>　抄</w:t>
      </w:r>
    </w:p>
    <w:p>
      <w:pPr>
        <w:pStyle w:val="0"/>
        <w:rPr>
          <w:rFonts w:hint="default"/>
        </w:rPr>
      </w:pPr>
      <w:r>
        <w:rPr>
          <w:rFonts w:hint="default"/>
        </w:rPr>
        <w:t>平成二十五年四月一日から適用する。</w:t>
      </w:r>
    </w:p>
    <w:p>
      <w:pPr>
        <w:pStyle w:val="0"/>
        <w:rPr>
          <w:rFonts w:hint="default"/>
        </w:rPr>
      </w:pPr>
      <w:r>
        <w:rPr>
          <w:rFonts w:hint="default"/>
        </w:rPr>
        <w:t>改正文　</w:t>
      </w:r>
      <w:r>
        <w:rPr>
          <w:rFonts w:hint="default"/>
        </w:rPr>
        <w:t>(</w:t>
      </w:r>
      <w:r>
        <w:rPr>
          <w:rFonts w:hint="default"/>
        </w:rPr>
        <w:t>平成二七年三月三一日厚生労働省告示第一九五号</w:t>
      </w:r>
      <w:r>
        <w:rPr>
          <w:rFonts w:hint="default"/>
        </w:rPr>
        <w:t>)</w:t>
      </w:r>
      <w:r>
        <w:rPr>
          <w:rFonts w:hint="default"/>
        </w:rPr>
        <w:t>　抄</w:t>
      </w:r>
    </w:p>
    <w:p>
      <w:pPr>
        <w:pStyle w:val="0"/>
        <w:rPr>
          <w:rFonts w:hint="eastAsia"/>
        </w:rPr>
      </w:pPr>
      <w:r>
        <w:rPr>
          <w:rFonts w:hint="default"/>
        </w:rPr>
        <w:t>平成二十七年四月一日から適用する。</w:t>
      </w:r>
    </w:p>
    <w:p>
      <w:pPr>
        <w:pStyle w:val="0"/>
        <w:ind w:left="0" w:leftChars="0" w:firstLine="2730" w:firstLineChars="1300"/>
        <w:rPr>
          <w:rFonts w:hint="eastAsia" w:asciiTheme="minorEastAsia" w:hAnsiTheme="minorEastAsia" w:eastAsiaTheme="minorEastAsia"/>
        </w:rPr>
      </w:pPr>
    </w:p>
    <w:p>
      <w:pPr>
        <w:pStyle w:val="0"/>
        <w:ind w:left="0" w:leftChars="0" w:firstLine="2730" w:firstLineChars="1300"/>
        <w:rPr>
          <w:rFonts w:hint="eastAsia" w:asciiTheme="minorEastAsia" w:hAnsiTheme="minorEastAsia" w:eastAsiaTheme="minorEastAsia"/>
        </w:rPr>
      </w:pPr>
    </w:p>
    <w:sectPr>
      <w:footerReference r:id="rId7" w:type="default"/>
      <w:footerReference r:id="rId6" w:type="first"/>
      <w:pgSz w:w="11906" w:h="16838"/>
      <w:pgMar w:top="850" w:right="1134" w:bottom="291"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8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HGPｺﾞｼｯｸM" w:hAnsi="HGPｺﾞｼｯｸM" w:eastAsia="HGPｺﾞｼｯｸM"/>
        <w:sz w:val="24"/>
      </w:rPr>
      <w:t>※連絡先（必ず記入してください）　</w:t>
    </w:r>
    <w:r>
      <w:rPr>
        <w:rFonts w:hint="eastAsia" w:ascii="HGPｺﾞｼｯｸM" w:hAnsi="HGPｺﾞｼｯｸM" w:eastAsia="HGPｺﾞｼｯｸM"/>
        <w:sz w:val="24"/>
        <w:u w:val="single" w:color="auto"/>
      </w:rPr>
      <w:t>担当者　　　　　　　　　　　　　　</w:t>
    </w:r>
    <w:r>
      <w:rPr>
        <w:rFonts w:hint="eastAsia" w:ascii="HGPｺﾞｼｯｸM" w:hAnsi="HGPｺﾞｼｯｸM" w:eastAsia="HGPｺﾞｼｯｸM"/>
        <w:sz w:val="24"/>
        <w:u w:val="single" w:color="auto"/>
      </w:rPr>
      <w:t>TEL</w:t>
    </w:r>
    <w:r>
      <w:rPr>
        <w:rFonts w:hint="eastAsia" w:ascii="HGPｺﾞｼｯｸM" w:hAnsi="HGPｺﾞｼｯｸM" w:eastAsia="HGPｺﾞｼｯｸM"/>
        <w:sz w:val="24"/>
        <w:u w:val="single" w:color="auto"/>
      </w:rPr>
      <w:t>　　　　　　　　　　　　　　　　　</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66A1CAA"/>
    <w:lvl w:ilvl="0" w:tplc="00000000">
      <w:numFmt w:val="bullet"/>
      <w:lvlText w:val="□"/>
      <w:lvlJc w:val="left"/>
      <w:pPr>
        <w:tabs>
          <w:tab w:val="num" w:leader="none" w:pos="360"/>
        </w:tabs>
        <w:ind w:left="360" w:hanging="360"/>
      </w:pPr>
      <w:rPr>
        <w:rFonts w:hint="eastAsia" w:ascii="HGPｺﾞｼｯｸM" w:hAnsi="HGPｺﾞｼｯｸM" w:eastAsia="HGPｺﾞｼｯｸM"/>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7</Pages>
  <Words>6</Words>
  <Characters>5159</Characters>
  <Application>JUST Note</Application>
  <Lines>2139</Lines>
  <Paragraphs>161</Paragraphs>
  <Company>静岡県</Company>
  <CharactersWithSpaces>5244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小野　裕輝</cp:lastModifiedBy>
  <cp:lastPrinted>2022-12-20T10:39:00Z</cp:lastPrinted>
  <dcterms:created xsi:type="dcterms:W3CDTF">2020-12-03T05:21:00Z</dcterms:created>
  <dcterms:modified xsi:type="dcterms:W3CDTF">2023-06-01T23:51:47Z</dcterms:modified>
  <cp:revision>17</cp:revision>
</cp:coreProperties>
</file>