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bookmarkStart w:id="0" w:name="_Hlk92047557"/>
      <w:bookmarkEnd w:id="0"/>
      <w:bookmarkStart w:id="1" w:name="_Toc503474052"/>
    </w:p>
    <w:p>
      <w:pPr>
        <w:pStyle w:val="0"/>
        <w:rPr>
          <w:rFonts w:hint="default" w:ascii="ＤＦ特太ゴシック体" w:hAnsi="ＤＦ特太ゴシック体" w:eastAsia="ＤＦ特太ゴシック体"/>
          <w:sz w:val="28"/>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rPr>
      </w:pPr>
    </w:p>
    <w:p>
      <w:pPr>
        <w:pStyle w:val="0"/>
        <w:jc w:val="center"/>
        <w:rPr>
          <w:rFonts w:hint="default" w:ascii="ＭＳ ゴシック" w:hAnsi="ＭＳ ゴシック" w:eastAsia="ＭＳ ゴシック"/>
          <w:sz w:val="48"/>
        </w:rPr>
      </w:pPr>
      <w:r>
        <w:rPr>
          <w:rFonts w:hint="eastAsia" w:ascii="ＭＳ ゴシック" w:hAnsi="ＭＳ ゴシック" w:eastAsia="ＭＳ ゴシック"/>
          <w:sz w:val="48"/>
        </w:rPr>
        <w:t>第５次静岡県障害者計画</w:t>
      </w:r>
    </w:p>
    <w:p>
      <w:pPr>
        <w:pStyle w:val="0"/>
        <w:rPr>
          <w:rFonts w:hint="default" w:ascii="ＭＳ ゴシック" w:hAnsi="ＭＳ ゴシック" w:eastAsia="ＭＳ ゴシック"/>
          <w:sz w:val="48"/>
        </w:rPr>
      </w:pPr>
    </w:p>
    <w:p>
      <w:pPr>
        <w:pStyle w:val="0"/>
        <w:rPr>
          <w:rFonts w:hint="default" w:ascii="ＭＳ ゴシック" w:hAnsi="ＭＳ ゴシック" w:eastAsia="ＭＳ ゴシック"/>
          <w:sz w:val="32"/>
        </w:rPr>
      </w:pPr>
    </w:p>
    <w:p>
      <w:pPr>
        <w:pStyle w:val="0"/>
        <w:jc w:val="center"/>
        <w:rPr>
          <w:rFonts w:hint="default" w:ascii="ＭＳ ゴシック" w:hAnsi="ＭＳ ゴシック" w:eastAsia="ＭＳ ゴシック"/>
          <w:sz w:val="48"/>
        </w:rPr>
      </w:pPr>
    </w:p>
    <w:p>
      <w:pPr>
        <w:pStyle w:val="0"/>
        <w:rPr>
          <w:rFonts w:hint="default" w:ascii="ＭＳ ゴシック" w:hAnsi="ＭＳ ゴシック" w:eastAsia="ＭＳ ゴシック"/>
          <w:sz w:val="48"/>
        </w:rPr>
      </w:pPr>
    </w:p>
    <w:p>
      <w:pPr>
        <w:pStyle w:val="0"/>
        <w:rPr>
          <w:rFonts w:hint="default" w:ascii="ＭＳ ゴシック" w:hAnsi="ＭＳ ゴシック" w:eastAsia="ＭＳ ゴシック"/>
          <w:sz w:val="48"/>
        </w:rPr>
      </w:pPr>
    </w:p>
    <w:p>
      <w:pPr>
        <w:pStyle w:val="0"/>
        <w:rPr>
          <w:rFonts w:hint="default" w:ascii="ＭＳ ゴシック" w:hAnsi="ＭＳ ゴシック" w:eastAsia="ＭＳ ゴシック"/>
          <w:sz w:val="48"/>
        </w:rPr>
      </w:pPr>
    </w:p>
    <w:p>
      <w:pPr>
        <w:pStyle w:val="0"/>
        <w:rPr>
          <w:rFonts w:hint="default" w:ascii="ＭＳ ゴシック" w:hAnsi="ＭＳ ゴシック" w:eastAsia="ＭＳ ゴシック"/>
          <w:sz w:val="48"/>
        </w:rPr>
      </w:pPr>
    </w:p>
    <w:p>
      <w:pPr>
        <w:pStyle w:val="0"/>
        <w:rPr>
          <w:rFonts w:hint="default" w:ascii="ＭＳ ゴシック" w:hAnsi="ＭＳ ゴシック" w:eastAsia="ＭＳ ゴシック"/>
          <w:sz w:val="48"/>
        </w:rPr>
      </w:pPr>
    </w:p>
    <w:p>
      <w:pPr>
        <w:pStyle w:val="0"/>
        <w:rPr>
          <w:rFonts w:hint="default" w:ascii="ＭＳ ゴシック" w:hAnsi="ＭＳ ゴシック" w:eastAsia="ＭＳ ゴシック"/>
          <w:sz w:val="48"/>
        </w:rPr>
      </w:pPr>
    </w:p>
    <w:p>
      <w:pPr>
        <w:pStyle w:val="0"/>
        <w:rPr>
          <w:rFonts w:hint="default" w:ascii="ＭＳ ゴシック" w:hAnsi="ＭＳ ゴシック" w:eastAsia="ＭＳ ゴシック"/>
          <w:sz w:val="48"/>
        </w:rPr>
      </w:pPr>
    </w:p>
    <w:p>
      <w:pPr>
        <w:pStyle w:val="0"/>
        <w:rPr>
          <w:rFonts w:hint="default" w:ascii="HGｺﾞｼｯｸM" w:hAnsi="HGｺﾞｼｯｸM" w:eastAsia="HGｺﾞｼｯｸM"/>
          <w:sz w:val="40"/>
        </w:rPr>
      </w:pPr>
    </w:p>
    <w:p>
      <w:pPr>
        <w:pStyle w:val="0"/>
        <w:jc w:val="center"/>
        <w:rPr>
          <w:rFonts w:hint="default" w:ascii="ＭＳ ゴシック" w:hAnsi="ＭＳ ゴシック" w:eastAsia="ＭＳ ゴシック"/>
          <w:sz w:val="36"/>
        </w:rPr>
      </w:pPr>
      <w:r>
        <w:rPr>
          <w:rFonts w:hint="eastAsia" w:ascii="ＭＳ ゴシック" w:hAnsi="ＭＳ ゴシック" w:eastAsia="ＭＳ ゴシック"/>
          <w:sz w:val="36"/>
        </w:rPr>
        <w:t>2022</w:t>
      </w:r>
      <w:r>
        <w:rPr>
          <w:rFonts w:hint="eastAsia" w:ascii="ＭＳ ゴシック" w:hAnsi="ＭＳ ゴシック" w:eastAsia="ＭＳ ゴシック"/>
          <w:sz w:val="36"/>
        </w:rPr>
        <w:t>年３月</w:t>
      </w:r>
    </w:p>
    <w:p>
      <w:pPr>
        <w:pStyle w:val="0"/>
        <w:jc w:val="center"/>
        <w:rPr>
          <w:rFonts w:hint="default" w:ascii="ＭＳ ゴシック" w:hAnsi="ＭＳ ゴシック" w:eastAsia="ＭＳ ゴシック"/>
          <w:sz w:val="36"/>
        </w:rPr>
      </w:pPr>
      <w:r>
        <w:rPr>
          <w:rFonts w:hint="eastAsia" w:ascii="ＭＳ ゴシック" w:hAnsi="ＭＳ ゴシック" w:eastAsia="ＭＳ ゴシック"/>
          <w:spacing w:val="102"/>
          <w:kern w:val="0"/>
          <w:sz w:val="48"/>
          <w:fitText w:val="3216" w:id="1"/>
        </w:rPr>
        <w:t>静　岡　</w:t>
      </w:r>
      <w:r>
        <w:rPr>
          <w:rFonts w:hint="eastAsia" w:ascii="ＭＳ ゴシック" w:hAnsi="ＭＳ ゴシック" w:eastAsia="ＭＳ ゴシック"/>
          <w:kern w:val="0"/>
          <w:sz w:val="48"/>
          <w:fitText w:val="3216" w:id="1"/>
        </w:rPr>
        <w:t>県</w:t>
      </w:r>
    </w:p>
    <w:p>
      <w:pPr>
        <w:pStyle w:val="0"/>
        <w:rPr>
          <w:rFonts w:hint="default" w:ascii="ＭＳ ゴシック" w:hAnsi="ＭＳ ゴシック" w:eastAsia="ＭＳ ゴシック"/>
          <w:sz w:val="38"/>
        </w:rPr>
      </w:pPr>
      <w:r>
        <w:rPr>
          <w:rFonts w:hint="eastAsia"/>
        </w:rPr>
        <w:drawing>
          <wp:anchor distT="0" distB="0" distL="203200" distR="203200" simplePos="0" relativeHeight="99" behindDoc="0" locked="0" layoutInCell="1" hidden="0" allowOverlap="1">
            <wp:simplePos x="0" y="0"/>
            <wp:positionH relativeFrom="column">
              <wp:posOffset>4641850</wp:posOffset>
            </wp:positionH>
            <wp:positionV relativeFrom="paragraph">
              <wp:posOffset>224155</wp:posOffset>
            </wp:positionV>
            <wp:extent cx="1510030" cy="1676400"/>
            <wp:effectExtent l="0" t="0" r="0" b="0"/>
            <wp:wrapSquare wrapText="bothSides"/>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8"/>
                    <a:stretch>
                      <a:fillRect/>
                    </a:stretch>
                  </pic:blipFill>
                  <pic:spPr>
                    <a:xfrm>
                      <a:off x="0" y="0"/>
                      <a:ext cx="1510030" cy="1676400"/>
                    </a:xfrm>
                    <a:prstGeom prst="rect">
                      <a:avLst/>
                    </a:prstGeom>
                    <a:noFill/>
                    <a:ln>
                      <a:miter/>
                    </a:ln>
                  </pic:spPr>
                </pic:pic>
              </a:graphicData>
            </a:graphic>
          </wp:anchor>
        </w:drawing>
      </w:r>
      <w:r>
        <w:rPr>
          <w:rFonts w:hint="eastAsia" w:ascii="ＭＳ ゴシック" w:hAnsi="ＭＳ ゴシック" w:eastAsia="ＭＳ ゴシック"/>
          <w:sz w:val="38"/>
        </w:rPr>
        <w:t>はじめに</w:t>
      </w:r>
    </w:p>
    <w:p>
      <w:pPr>
        <w:pStyle w:val="0"/>
        <w:spacing w:line="180" w:lineRule="exact"/>
        <w:rPr>
          <w:rFonts w:hint="default" w:ascii="ＭＳ ゴシック" w:hAnsi="ＭＳ ゴシック" w:eastAsia="ＭＳ ゴシック"/>
          <w:sz w:val="38"/>
        </w:rPr>
      </w:pPr>
    </w:p>
    <w:p>
      <w:pPr>
        <w:pStyle w:val="0"/>
        <w:spacing w:line="420" w:lineRule="exact"/>
        <w:ind w:left="0" w:leftChars="0" w:firstLine="279" w:firstLineChars="100"/>
        <w:rPr>
          <w:rFonts w:hint="eastAsia"/>
          <w:color w:val="FF0000"/>
          <w:u w:val="single" w:color="auto"/>
        </w:rPr>
      </w:pPr>
      <w:r>
        <w:rPr>
          <w:rFonts w:hint="eastAsia"/>
        </w:rPr>
        <w:t>静岡県では、富国有徳の「美しい“ふじのくに”」づくりを県政運営の基本理念に掲げ、「県民幸福度の最大化」のため、全ての県民が、障害の有無によって分け隔てられることなく、相互に人格と個性を尊重し合いながら、共生する社会の実現を目指し、様々な施策を推進してまいりました。</w:t>
      </w:r>
    </w:p>
    <w:p>
      <w:pPr>
        <w:pStyle w:val="0"/>
        <w:tabs>
          <w:tab w:val="left" w:leader="none" w:pos="-720"/>
          <w:tab w:val="left" w:leader="none" w:pos="0"/>
          <w:tab w:val="left" w:leader="none" w:pos="720"/>
          <w:tab w:val="left" w:leader="none" w:pos="1440"/>
          <w:tab w:val="left" w:leader="none" w:pos="2160"/>
          <w:tab w:val="left" w:leader="none" w:pos="2880"/>
          <w:tab w:val="left" w:leader="none" w:pos="3600"/>
          <w:tab w:val="left" w:leader="none" w:pos="4320"/>
        </w:tabs>
        <w:autoSpaceDE w:val="0"/>
        <w:autoSpaceDN w:val="0"/>
        <w:adjustRightInd w:val="0"/>
        <w:spacing w:before="0" w:beforeLines="0" w:beforeAutospacing="0" w:after="0" w:afterLines="0" w:afterAutospacing="0" w:line="420" w:lineRule="exact"/>
        <w:ind w:left="0" w:leftChars="0" w:firstLine="279" w:firstLineChars="100"/>
        <w:jc w:val="both"/>
        <w:rPr>
          <w:rFonts w:hint="eastAsia"/>
        </w:rPr>
      </w:pPr>
      <w:r>
        <w:rPr>
          <w:rFonts w:hint="eastAsia" w:ascii="ＭＳ 明朝" w:hAnsi="ＭＳ 明朝" w:eastAsia="ＭＳ 明朝"/>
          <w:color w:val="000000"/>
          <w:sz w:val="24"/>
        </w:rPr>
        <w:t>昨年</w:t>
      </w:r>
      <w:r>
        <w:rPr>
          <w:rFonts w:hint="eastAsia" w:ascii="ＭＳ 明朝" w:hAnsi="ＭＳ 明朝" w:eastAsia="ＭＳ 明朝"/>
          <w:color w:val="auto"/>
          <w:sz w:val="24"/>
        </w:rPr>
        <w:t>5</w:t>
      </w:r>
      <w:r>
        <w:rPr>
          <w:rFonts w:hint="eastAsia" w:ascii="ＭＳ 明朝" w:hAnsi="ＭＳ 明朝" w:eastAsia="ＭＳ 明朝"/>
          <w:color w:val="000000"/>
          <w:sz w:val="24"/>
        </w:rPr>
        <w:t>月には、障害のある方やその御家族、関係の皆様が待ち望んでおられた、「合理的な配慮の提供」を民間事業者にも義務付ける改正障害者差別解消法が成立し、再来年の</w:t>
      </w:r>
      <w:r>
        <w:rPr>
          <w:rFonts w:hint="eastAsia" w:ascii="ＭＳ 明朝" w:hAnsi="ＭＳ 明朝" w:eastAsia="ＭＳ 明朝"/>
          <w:color w:val="000000"/>
          <w:sz w:val="24"/>
        </w:rPr>
        <w:t>6</w:t>
      </w:r>
      <w:r>
        <w:rPr>
          <w:rFonts w:hint="eastAsia" w:ascii="ＭＳ 明朝" w:hAnsi="ＭＳ 明朝" w:eastAsia="ＭＳ 明朝"/>
          <w:color w:val="000000"/>
          <w:sz w:val="24"/>
        </w:rPr>
        <w:t>月までに施行されることとなっております。また、昨年</w:t>
      </w:r>
      <w:r>
        <w:rPr>
          <w:rFonts w:hint="eastAsia" w:ascii="ＭＳ 明朝" w:hAnsi="ＭＳ 明朝" w:eastAsia="ＭＳ 明朝"/>
          <w:color w:val="000000"/>
          <w:sz w:val="24"/>
        </w:rPr>
        <w:t>9</w:t>
      </w:r>
      <w:r>
        <w:rPr>
          <w:rFonts w:hint="eastAsia" w:ascii="ＭＳ 明朝" w:hAnsi="ＭＳ 明朝" w:eastAsia="ＭＳ 明朝"/>
          <w:color w:val="000000"/>
          <w:sz w:val="24"/>
        </w:rPr>
        <w:t>月には、「医療的ケア児及びその家族に対する支援に関する法律」が施行されており、本県においても、医療的ケア児</w:t>
      </w:r>
      <w:r>
        <w:rPr>
          <w:rFonts w:hint="eastAsia" w:ascii="ＭＳ 明朝" w:hAnsi="ＭＳ 明朝" w:eastAsia="ＭＳ 明朝"/>
          <w:color w:val="auto"/>
          <w:sz w:val="24"/>
        </w:rPr>
        <w:t>等支</w:t>
      </w:r>
      <w:r>
        <w:rPr>
          <w:rFonts w:hint="eastAsia" w:ascii="ＭＳ 明朝" w:hAnsi="ＭＳ 明朝" w:eastAsia="ＭＳ 明朝"/>
          <w:color w:val="000000"/>
          <w:sz w:val="24"/>
        </w:rPr>
        <w:t>援センターを早期に開設いたします。</w:t>
      </w:r>
    </w:p>
    <w:p>
      <w:pPr>
        <w:pStyle w:val="0"/>
        <w:tabs>
          <w:tab w:val="left" w:leader="none" w:pos="-720"/>
          <w:tab w:val="left" w:leader="none" w:pos="0"/>
          <w:tab w:val="left" w:leader="none" w:pos="720"/>
          <w:tab w:val="left" w:leader="none" w:pos="1440"/>
          <w:tab w:val="left" w:leader="none" w:pos="2160"/>
          <w:tab w:val="left" w:leader="none" w:pos="2880"/>
          <w:tab w:val="left" w:leader="none" w:pos="3600"/>
          <w:tab w:val="left" w:leader="none" w:pos="4320"/>
        </w:tabs>
        <w:autoSpaceDE w:val="0"/>
        <w:autoSpaceDN w:val="0"/>
        <w:adjustRightInd w:val="0"/>
        <w:spacing w:before="0" w:beforeLines="0" w:beforeAutospacing="0" w:after="0" w:afterLines="0" w:afterAutospacing="0" w:line="420" w:lineRule="exact"/>
        <w:ind w:left="0" w:leftChars="0" w:firstLine="279" w:firstLineChars="100"/>
        <w:jc w:val="both"/>
        <w:rPr>
          <w:rFonts w:hint="eastAsia"/>
        </w:rPr>
      </w:pPr>
      <w:r>
        <w:rPr>
          <w:rFonts w:hint="eastAsia" w:ascii="ＭＳ 明朝" w:hAnsi="ＭＳ 明朝" w:eastAsia="ＭＳ 明朝"/>
          <w:color w:val="000000"/>
          <w:sz w:val="24"/>
        </w:rPr>
        <w:t>一方で、新型コロナウイルスの感染拡大防止のために定着した「新しい生活様式」が、障害のある方にとっては、コミュニケーションや情報を取得する手段が制約されるなど、日々の暮らしの中で不安や不便を感じる場面が少なくないと伺っております。</w:t>
      </w:r>
    </w:p>
    <w:p>
      <w:pPr>
        <w:pStyle w:val="0"/>
        <w:spacing w:line="420" w:lineRule="exact"/>
        <w:ind w:firstLine="279" w:firstLineChars="100"/>
        <w:rPr>
          <w:rFonts w:hint="eastAsia"/>
          <w:color w:val="000000"/>
        </w:rPr>
      </w:pPr>
      <w:r>
        <w:rPr>
          <w:rFonts w:hint="eastAsia"/>
          <w:color w:val="auto"/>
          <w:u w:val="none" w:color="auto"/>
        </w:rPr>
        <w:t>こうした時代の変化や課題に対応するため、「ふじのくに障害者しあわせプラン（第５次静岡県障害者計画）」を策定しました。当プランでは、第４次計画に引き続き、「障害のある人が分け隔てられない共生社会の実現」を基本目標としつつ、①障害者差別解消法の改正に伴う、民間事業者による合理的配慮の提供促進、②「親亡き後」の地域生活継続のための仕組みづくり、③新しい生活様式における情報保障の推進と感染症対策の充実、④医療的ケア児等に対する支援の充実の４項目を「重点的に取り組む施策」として位置付けております。プラン</w:t>
      </w:r>
      <w:r>
        <w:rPr>
          <w:rFonts w:hint="eastAsia"/>
        </w:rPr>
        <w:t>の着実な推進により、東京２０２０パラリンピック競技大会</w:t>
      </w:r>
      <w:r>
        <w:rPr>
          <w:rFonts w:hint="eastAsia"/>
          <w:color w:val="000000"/>
        </w:rPr>
        <w:t>において高まった障害のある方への理解と関心を行動へと移し、誰もが身近な地域で安心して暮らすことができる共生社会の実現を目指してまいりますので、県民の皆様におかれましては、一層の御理解と御協力を賜りますようお願いいたします。</w:t>
      </w:r>
    </w:p>
    <w:p>
      <w:pPr>
        <w:pStyle w:val="0"/>
        <w:spacing w:line="420" w:lineRule="exact"/>
        <w:ind w:firstLine="279" w:firstLineChars="100"/>
        <w:rPr>
          <w:rFonts w:hint="eastAsia"/>
        </w:rPr>
      </w:pPr>
      <w:r>
        <w:rPr>
          <w:rFonts w:hint="eastAsia"/>
          <w:color w:val="000000"/>
        </w:rPr>
        <w:t>結びに、プランの策定に当たりましては、「静岡県障害者施策推進協議</w:t>
      </w:r>
      <w:r>
        <w:rPr>
          <w:rFonts w:hint="eastAsia"/>
        </w:rPr>
        <w:t>会」の委員の皆様をはじめ、障害者関係団体の皆様、障害のある方の実態調査に御協力いただいた方々など、広く県民の皆様から御意見・御提言をいただきましたことに、心から感謝を申し上げます。</w:t>
      </w:r>
    </w:p>
    <w:p>
      <w:pPr>
        <w:pStyle w:val="0"/>
        <w:spacing w:line="260" w:lineRule="exact"/>
        <w:ind w:firstLine="279" w:firstLineChars="100"/>
        <w:rPr>
          <w:rFonts w:hint="eastAsia"/>
        </w:rPr>
      </w:pPr>
    </w:p>
    <w:p>
      <w:pPr>
        <w:pStyle w:val="0"/>
        <w:spacing w:line="260" w:lineRule="exact"/>
        <w:ind w:firstLine="279" w:firstLineChars="100"/>
        <w:rPr>
          <w:rFonts w:hint="eastAsia"/>
        </w:rPr>
      </w:pPr>
    </w:p>
    <w:p>
      <w:pPr>
        <w:pStyle w:val="0"/>
        <w:spacing w:line="520" w:lineRule="exact"/>
        <w:ind w:left="0" w:leftChars="0" w:firstLine="279" w:firstLineChars="100"/>
        <w:rPr>
          <w:rFonts w:hint="eastAsia"/>
        </w:rPr>
      </w:pPr>
      <w:r>
        <w:rPr>
          <w:rFonts w:hint="eastAsia"/>
        </w:rPr>
        <w:t>2022</w:t>
      </w:r>
      <w:r>
        <w:rPr>
          <w:rFonts w:hint="eastAsia"/>
        </w:rPr>
        <w:t>年３月　　　　　　　　　　</w:t>
      </w:r>
    </w:p>
    <w:p>
      <w:pPr>
        <w:pStyle w:val="0"/>
        <w:spacing w:line="520" w:lineRule="exact"/>
        <w:ind w:left="0" w:leftChars="0" w:firstLine="279" w:firstLineChars="100"/>
        <w:rPr>
          <w:rFonts w:hint="eastAsia"/>
        </w:rPr>
      </w:pPr>
    </w:p>
    <w:p>
      <w:pPr>
        <w:pStyle w:val="0"/>
        <w:spacing w:line="520" w:lineRule="exact"/>
        <w:ind w:left="0" w:leftChars="0" w:firstLine="5760" w:firstLineChars="2400"/>
        <w:rPr>
          <w:rFonts w:hint="eastAsia"/>
        </w:rPr>
      </w:pPr>
      <w:r>
        <w:rPr>
          <w:rFonts w:hint="eastAsia"/>
        </w:rPr>
        <w:t>静岡県知事　</w:t>
      </w:r>
      <w:r>
        <w:rPr>
          <w:rFonts w:hint="eastAsia" w:ascii="HG正楷書体-PRO" w:hAnsi="HG正楷書体-PRO" w:eastAsia="HG正楷書体-PRO"/>
          <w:sz w:val="52"/>
        </w:rPr>
        <w:t>川勝</w:t>
      </w:r>
      <w:r>
        <w:rPr>
          <w:rFonts w:hint="eastAsia" w:ascii="HG正楷書体-PRO" w:hAnsi="HG正楷書体-PRO" w:eastAsia="HG正楷書体-PRO"/>
          <w:sz w:val="52"/>
        </w:rPr>
        <w:t xml:space="preserve"> </w:t>
      </w:r>
      <w:r>
        <w:rPr>
          <w:rFonts w:hint="eastAsia" w:ascii="HG正楷書体-PRO" w:hAnsi="HG正楷書体-PRO" w:eastAsia="HG正楷書体-PRO"/>
          <w:sz w:val="52"/>
        </w:rPr>
        <w:t>平太</w:t>
      </w:r>
    </w:p>
    <w:p>
      <w:pPr>
        <w:pStyle w:val="0"/>
        <w:rPr>
          <w:rFonts w:hint="default"/>
        </w:rPr>
      </w:pPr>
    </w:p>
    <w:p>
      <w:pPr>
        <w:pStyle w:val="0"/>
        <w:jc w:val="center"/>
        <w:rPr>
          <w:rFonts w:hint="default" w:ascii="ＭＳ ゴシック" w:hAnsi="ＭＳ ゴシック" w:eastAsia="ＭＳ ゴシック"/>
          <w:sz w:val="36"/>
        </w:rPr>
      </w:pPr>
      <w:r>
        <w:rPr>
          <w:rFonts w:hint="eastAsia" w:ascii="ＭＳ ゴシック" w:hAnsi="ＭＳ ゴシック" w:eastAsia="ＭＳ ゴシック"/>
        </w:rPr>
        <mc:AlternateContent>
          <mc:Choice Requires="wps">
            <w:drawing>
              <wp:anchor distT="0" distB="0" distL="114300" distR="114300" simplePos="0" relativeHeight="9" behindDoc="0" locked="0" layoutInCell="1" hidden="0" allowOverlap="1">
                <wp:simplePos x="0" y="0"/>
                <wp:positionH relativeFrom="column">
                  <wp:posOffset>-7620</wp:posOffset>
                </wp:positionH>
                <wp:positionV relativeFrom="paragraph">
                  <wp:posOffset>608330</wp:posOffset>
                </wp:positionV>
                <wp:extent cx="6134100" cy="0"/>
                <wp:effectExtent l="19050" t="19685" r="29210" b="19685"/>
                <wp:wrapSquare wrapText="bothSides"/>
                <wp:docPr id="1027" name="オブジェクト 0"/>
                <a:graphic xmlns:a="http://schemas.openxmlformats.org/drawingml/2006/main">
                  <a:graphicData uri="http://schemas.microsoft.com/office/word/2010/wordprocessingShape">
                    <wps:wsp>
                      <wps:cNvPr id="1027" name="オブジェクト 0"/>
                      <wps:cNvSpPr/>
                      <wps:spPr>
                        <a:xfrm>
                          <a:off x="0" y="0"/>
                          <a:ext cx="6134100" cy="0"/>
                        </a:xfrm>
                        <a:prstGeom prst="line">
                          <a:avLst/>
                        </a:prstGeom>
                        <a:noFill/>
                        <a:ln w="38100" cmpd="dbl">
                          <a:solidFill>
                            <a:srgbClr val="333333"/>
                          </a:solidFill>
                          <a:miter/>
                        </a:ln>
                      </wps:spPr>
                      <wps:bodyPr/>
                    </wps:wsp>
                  </a:graphicData>
                </a:graphic>
              </wp:anchor>
            </w:drawing>
          </mc:Choice>
          <mc:Fallback>
            <w:pict>
              <v:line id="オブジェクト 0" style="mso-wrap-distance-top:0pt;mso-wrap-distance-right:9pt;mso-wrap-distance-bottom:0pt;mso-position-vertical-relative:text;mso-position-horizontal-relative:text;position:absolute;mso-wrap-mode:square;mso-wrap-distance-left:9pt;z-index:9;" o:spid="_x0000_s1027" o:allowincell="t" o:allowoverlap="t" filled="f" stroked="t" strokecolor="#333333" strokeweight="3pt" o:spt="20" from="-0.60000000000000009pt,47.900000000000006pt" to="482.4pt,47.900000000000006pt">
                <v:fill/>
                <v:stroke linestyle="thinThin" filltype="solid"/>
                <v:textbox style="layout-flow:horizontal;"/>
                <v:imagedata o:title=""/>
                <w10:wrap type="square" side="both" anchorx="text" anchory="text"/>
              </v:line>
            </w:pict>
          </mc:Fallback>
        </mc:AlternateContent>
      </w:r>
      <w:r>
        <w:rPr>
          <w:rFonts w:hint="eastAsia" w:ascii="ＭＳ ゴシック" w:hAnsi="ＭＳ ゴシック" w:eastAsia="ＭＳ ゴシック"/>
          <w:sz w:val="36"/>
        </w:rPr>
        <mc:AlternateContent>
          <mc:Choice Requires="wps">
            <w:drawing>
              <wp:anchor distT="0" distB="0" distL="114300" distR="114300" simplePos="0" relativeHeight="8" behindDoc="0" locked="0" layoutInCell="1" hidden="0" allowOverlap="1">
                <wp:simplePos x="0" y="0"/>
                <wp:positionH relativeFrom="column">
                  <wp:posOffset>0</wp:posOffset>
                </wp:positionH>
                <wp:positionV relativeFrom="paragraph">
                  <wp:posOffset>0</wp:posOffset>
                </wp:positionV>
                <wp:extent cx="6134100" cy="0"/>
                <wp:effectExtent l="19050" t="19685" r="29210" b="19685"/>
                <wp:wrapSquare wrapText="bothSides"/>
                <wp:docPr id="1028" name="オブジェクト 0"/>
                <a:graphic xmlns:a="http://schemas.openxmlformats.org/drawingml/2006/main">
                  <a:graphicData uri="http://schemas.microsoft.com/office/word/2010/wordprocessingShape">
                    <wps:wsp>
                      <wps:cNvPr id="1028" name="オブジェクト 0"/>
                      <wps:cNvSpPr/>
                      <wps:spPr>
                        <a:xfrm>
                          <a:off x="0" y="0"/>
                          <a:ext cx="6134100" cy="0"/>
                        </a:xfrm>
                        <a:prstGeom prst="line">
                          <a:avLst/>
                        </a:prstGeom>
                        <a:noFill/>
                        <a:ln w="38100" cmpd="dbl">
                          <a:solidFill>
                            <a:srgbClr val="333333"/>
                          </a:solidFill>
                          <a:miter/>
                        </a:ln>
                      </wps:spPr>
                      <wps:bodyPr/>
                    </wps:wsp>
                  </a:graphicData>
                </a:graphic>
              </wp:anchor>
            </w:drawing>
          </mc:Choice>
          <mc:Fallback>
            <w:pict>
              <v:line id="オブジェクト 0" style="mso-wrap-distance-top:0pt;mso-wrap-distance-right:9pt;mso-wrap-distance-bottom:0pt;mso-position-vertical-relative:text;mso-position-horizontal-relative:text;position:absolute;mso-wrap-mode:square;mso-wrap-distance-left:9pt;z-index:8;" o:spid="_x0000_s1028" o:allowincell="t" o:allowoverlap="t" filled="f" stroked="t" strokecolor="#333333" strokeweight="3pt" o:spt="20" from="0pt,0pt" to="483pt,0pt">
                <v:fill/>
                <v:stroke linestyle="thinThin" filltype="solid"/>
                <v:textbox style="layout-flow:horizontal;"/>
                <v:imagedata o:title=""/>
                <w10:wrap type="square" side="both" anchorx="text" anchory="text"/>
              </v:line>
            </w:pict>
          </mc:Fallback>
        </mc:AlternateContent>
      </w:r>
      <w:r>
        <w:rPr>
          <w:rFonts w:hint="eastAsia" w:ascii="ＭＳ ゴシック" w:hAnsi="ＭＳ ゴシック" w:eastAsia="ＭＳ ゴシック"/>
          <w:sz w:val="36"/>
        </w:rPr>
        <w:t>目　次</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はじめに</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b w:val="1"/>
        </w:rPr>
      </w:pPr>
      <w:r>
        <w:rPr>
          <w:rFonts w:hint="eastAsia" w:ascii="ＭＳ ゴシック" w:hAnsi="ＭＳ ゴシック" w:eastAsia="ＭＳ ゴシック"/>
          <w:b w:val="1"/>
        </w:rPr>
        <w:t>【第１部】総論</w:t>
      </w:r>
    </w:p>
    <w:p>
      <w:pPr>
        <w:pStyle w:val="30"/>
        <w:tabs>
          <w:tab w:val="right" w:leader="middleDot" w:pos="9741"/>
        </w:tabs>
        <w:rPr>
          <w:rFonts w:hint="default" w:ascii="Century" w:hAnsi="Century" w:eastAsia="ＭＳ 明朝"/>
          <w:sz w:val="21"/>
        </w:rPr>
      </w:pPr>
      <w:r>
        <w:rPr>
          <w:rFonts w:hint="default" w:ascii="HG丸ｺﾞｼｯｸM-PRO" w:hAnsi="HG丸ｺﾞｼｯｸM-PRO"/>
        </w:rPr>
        <w:fldChar w:fldCharType="begin"/>
      </w:r>
      <w:r>
        <w:rPr>
          <w:rFonts w:hint="default" w:ascii="HG丸ｺﾞｼｯｸM-PRO" w:hAnsi="HG丸ｺﾞｼｯｸM-PRO"/>
        </w:rPr>
        <w:instrText xml:space="preserve"> TOC \o "1-3" \h \z \u </w:instrText>
      </w:r>
      <w:r>
        <w:rPr>
          <w:rFonts w:hint="default" w:ascii="HG丸ｺﾞｼｯｸM-PRO" w:hAnsi="HG丸ｺﾞｼｯｸM-PRO"/>
        </w:rPr>
        <w:fldChar w:fldCharType="separate"/>
      </w:r>
      <w:r>
        <w:rPr>
          <w:rFonts w:hint="eastAsia"/>
        </w:rPr>
        <w:fldChar w:fldCharType="begin"/>
      </w:r>
      <w:r>
        <w:rPr>
          <w:rFonts w:hint="eastAsia"/>
        </w:rPr>
        <w:instrText xml:space="preserve"> HYPERLINK  \l "_Toc503474012"</w:instrText>
      </w:r>
      <w:r>
        <w:rPr>
          <w:rFonts w:hint="eastAsia"/>
        </w:rPr>
        <w:fldChar w:fldCharType="separate"/>
      </w:r>
      <w:r>
        <w:rPr>
          <w:rFonts w:hint="eastAsia" w:ascii="ＭＳ ゴシック" w:hAnsi="ＭＳ ゴシック"/>
          <w:b w:val="1"/>
        </w:rPr>
        <w:t>Ⅰ　計画の概要</w:t>
      </w:r>
      <w:r>
        <w:rPr>
          <w:rFonts w:hint="eastAsia"/>
        </w:rPr>
        <w:fldChar w:fldCharType="end"/>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"_Toc503474013"</w:instrText>
      </w:r>
      <w:r>
        <w:rPr>
          <w:rFonts w:hint="eastAsia"/>
        </w:rPr>
        <w:fldChar w:fldCharType="separate"/>
      </w:r>
      <w:r>
        <w:rPr>
          <w:rFonts w:hint="eastAsia" w:ascii="ＭＳ 明朝" w:hAnsi="ＭＳ 明朝" w:eastAsia="ＭＳ 明朝"/>
        </w:rPr>
        <w:t>１　計画策定の趣旨</w:t>
      </w:r>
      <w:r>
        <w:rPr>
          <w:rFonts w:hint="eastAsia" w:ascii="ＭＳ 明朝" w:hAnsi="ＭＳ 明朝" w:eastAsia="ＭＳ 明朝"/>
        </w:rPr>
        <w:tab/>
      </w:r>
      <w:r>
        <w:rPr>
          <w:rFonts w:hint="eastAsia"/>
        </w:rPr>
        <w:fldChar w:fldCharType="end"/>
      </w:r>
      <w:r>
        <w:rPr>
          <w:rFonts w:hint="eastAsia" w:ascii="ＭＳ 明朝" w:hAnsi="ＭＳ 明朝" w:eastAsia="ＭＳ 明朝"/>
        </w:rPr>
        <w:t>２</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"_Toc503474014"</w:instrText>
      </w:r>
      <w:r>
        <w:rPr>
          <w:rFonts w:hint="eastAsia"/>
        </w:rPr>
        <w:fldChar w:fldCharType="separate"/>
      </w:r>
      <w:r>
        <w:rPr>
          <w:rFonts w:hint="eastAsia" w:ascii="ＭＳ 明朝" w:hAnsi="ＭＳ 明朝" w:eastAsia="ＭＳ 明朝"/>
        </w:rPr>
        <w:t>２　計画の位置付け</w:t>
      </w:r>
      <w:r>
        <w:rPr>
          <w:rFonts w:hint="eastAsia" w:ascii="ＭＳ 明朝" w:hAnsi="ＭＳ 明朝" w:eastAsia="ＭＳ 明朝"/>
        </w:rPr>
        <w:tab/>
      </w:r>
      <w:r>
        <w:rPr>
          <w:rFonts w:hint="eastAsia"/>
        </w:rPr>
        <w:fldChar w:fldCharType="end"/>
      </w:r>
      <w:r>
        <w:rPr>
          <w:rFonts w:hint="eastAsia" w:ascii="ＭＳ 明朝" w:hAnsi="ＭＳ 明朝" w:eastAsia="ＭＳ 明朝"/>
        </w:rPr>
        <w:t>５</w:t>
      </w:r>
    </w:p>
    <w:p>
      <w:pPr>
        <w:pStyle w:val="28"/>
        <w:tabs>
          <w:tab w:val="right" w:leader="middleDot" w:pos="9741"/>
        </w:tabs>
        <w:rPr>
          <w:rFonts w:hint="eastAsia" w:ascii="ＭＳ 明朝" w:hAnsi="ＭＳ 明朝" w:eastAsia="ＭＳ 明朝"/>
          <w:sz w:val="21"/>
        </w:rPr>
      </w:pPr>
      <w:r>
        <w:rPr>
          <w:rFonts w:hint="eastAsia" w:ascii="ＭＳ 明朝" w:hAnsi="ＭＳ 明朝" w:eastAsia="ＭＳ 明朝"/>
        </w:rPr>
        <w:t>３</w:t>
      </w:r>
      <w:r>
        <w:rPr>
          <w:rFonts w:hint="eastAsia"/>
        </w:rPr>
        <w:fldChar w:fldCharType="begin"/>
      </w:r>
      <w:r>
        <w:rPr>
          <w:rFonts w:hint="eastAsia"/>
        </w:rPr>
        <w:instrText xml:space="preserve"> HYPERLINK  \l "_Toc503474017"</w:instrText>
      </w:r>
      <w:r>
        <w:rPr>
          <w:rFonts w:hint="eastAsia"/>
        </w:rPr>
        <w:fldChar w:fldCharType="separate"/>
      </w:r>
      <w:r>
        <w:rPr>
          <w:rFonts w:hint="eastAsia" w:ascii="ＭＳ 明朝" w:hAnsi="ＭＳ 明朝" w:eastAsia="ＭＳ 明朝"/>
        </w:rPr>
        <w:t>　計画期間</w:t>
      </w:r>
      <w:r>
        <w:rPr>
          <w:rFonts w:hint="eastAsia" w:ascii="ＭＳ 明朝" w:hAnsi="ＭＳ 明朝" w:eastAsia="ＭＳ 明朝"/>
        </w:rPr>
        <w:tab/>
      </w:r>
      <w:r>
        <w:rPr>
          <w:rFonts w:hint="eastAsia"/>
        </w:rPr>
        <w:fldChar w:fldCharType="end"/>
      </w:r>
      <w:r>
        <w:rPr>
          <w:rFonts w:hint="eastAsia" w:ascii="ＭＳ 明朝" w:hAnsi="ＭＳ 明朝" w:eastAsia="ＭＳ 明朝"/>
        </w:rPr>
        <w:t>７</w:t>
      </w:r>
    </w:p>
    <w:p>
      <w:pPr>
        <w:pStyle w:val="28"/>
        <w:tabs>
          <w:tab w:val="right" w:leader="middleDot" w:pos="9741"/>
        </w:tabs>
        <w:rPr>
          <w:rFonts w:hint="eastAsia" w:ascii="ＭＳ 明朝" w:hAnsi="ＭＳ 明朝" w:eastAsia="ＭＳ 明朝"/>
          <w:sz w:val="21"/>
        </w:rPr>
      </w:pPr>
      <w:r>
        <w:rPr>
          <w:rFonts w:hint="eastAsia" w:ascii="ＭＳ 明朝" w:hAnsi="ＭＳ 明朝" w:eastAsia="ＭＳ 明朝"/>
        </w:rPr>
        <w:t>４</w:t>
      </w:r>
      <w:r>
        <w:rPr>
          <w:rFonts w:hint="eastAsia"/>
        </w:rPr>
        <w:fldChar w:fldCharType="begin"/>
      </w:r>
      <w:r>
        <w:rPr>
          <w:rFonts w:hint="eastAsia"/>
        </w:rPr>
        <w:instrText xml:space="preserve"> HYPERLINK  \l "_Toc503474018"</w:instrText>
      </w:r>
      <w:r>
        <w:rPr>
          <w:rFonts w:hint="eastAsia"/>
        </w:rPr>
        <w:fldChar w:fldCharType="separate"/>
      </w:r>
      <w:r>
        <w:rPr>
          <w:rFonts w:hint="eastAsia" w:ascii="ＭＳ 明朝" w:hAnsi="ＭＳ 明朝" w:eastAsia="ＭＳ 明朝"/>
        </w:rPr>
        <w:t>　障害保健福祉圏域</w:t>
      </w:r>
      <w:r>
        <w:rPr>
          <w:rFonts w:hint="eastAsia" w:ascii="ＭＳ 明朝" w:hAnsi="ＭＳ 明朝" w:eastAsia="ＭＳ 明朝"/>
        </w:rPr>
        <w:tab/>
      </w:r>
      <w:r>
        <w:rPr>
          <w:rFonts w:hint="eastAsia"/>
        </w:rPr>
        <w:fldChar w:fldCharType="end"/>
      </w:r>
      <w:r>
        <w:rPr>
          <w:rFonts w:hint="eastAsia" w:ascii="ＭＳ 明朝" w:hAnsi="ＭＳ 明朝" w:eastAsia="ＭＳ 明朝"/>
        </w:rPr>
        <w:t>８</w:t>
      </w:r>
    </w:p>
    <w:p>
      <w:pPr>
        <w:pStyle w:val="28"/>
        <w:tabs>
          <w:tab w:val="right" w:leader="middleDot" w:pos="9741"/>
        </w:tabs>
        <w:rPr>
          <w:rFonts w:hint="eastAsia" w:ascii="ＭＳ 明朝" w:hAnsi="ＭＳ 明朝" w:eastAsia="ＭＳ 明朝"/>
          <w:sz w:val="21"/>
        </w:rPr>
      </w:pPr>
      <w:r>
        <w:rPr>
          <w:rFonts w:hint="eastAsia" w:ascii="ＭＳ 明朝" w:hAnsi="ＭＳ 明朝" w:eastAsia="ＭＳ 明朝"/>
          <w:sz w:val="24"/>
        </w:rPr>
        <w:t>５</w:t>
      </w:r>
      <w:r>
        <w:rPr>
          <w:rFonts w:hint="eastAsia" w:ascii="ＭＳ 明朝" w:hAnsi="ＭＳ 明朝" w:eastAsia="ＭＳ 明朝"/>
          <w:sz w:val="21"/>
        </w:rPr>
        <w:t>　</w:t>
      </w:r>
      <w:r>
        <w:rPr>
          <w:rFonts w:hint="eastAsia" w:ascii="ＭＳ 明朝" w:hAnsi="ＭＳ 明朝" w:eastAsia="ＭＳ 明朝"/>
        </w:rPr>
        <w:t>計画の推進と検証・見直し</w:t>
      </w:r>
      <w:r>
        <w:rPr>
          <w:rFonts w:hint="eastAsia" w:ascii="ＭＳ 明朝" w:hAnsi="ＭＳ 明朝" w:eastAsia="ＭＳ 明朝"/>
        </w:rPr>
        <w:tab/>
      </w:r>
      <w:r>
        <w:rPr>
          <w:rFonts w:hint="eastAsia" w:ascii="ＭＳ 明朝" w:hAnsi="ＭＳ 明朝" w:eastAsia="ＭＳ 明朝"/>
        </w:rPr>
        <w:t>９</w:t>
      </w:r>
    </w:p>
    <w:p>
      <w:pPr>
        <w:pStyle w:val="28"/>
        <w:tabs>
          <w:tab w:val="right" w:leader="middleDot" w:pos="9741"/>
        </w:tabs>
        <w:rPr>
          <w:rFonts w:hint="eastAsia" w:ascii="ＭＳ 明朝" w:hAnsi="ＭＳ 明朝" w:eastAsia="ＭＳ 明朝"/>
          <w:sz w:val="21"/>
        </w:rPr>
      </w:pPr>
      <w:r>
        <w:rPr>
          <w:rFonts w:hint="eastAsia" w:ascii="ＭＳ 明朝" w:hAnsi="ＭＳ 明朝" w:eastAsia="ＭＳ 明朝"/>
        </w:rPr>
        <w:t>　（</w:t>
      </w:r>
      <w:r>
        <w:rPr>
          <w:rFonts w:hint="eastAsia"/>
        </w:rPr>
        <w:fldChar w:fldCharType="begin"/>
      </w:r>
      <w:r>
        <w:rPr>
          <w:rFonts w:hint="eastAsia"/>
        </w:rPr>
        <w:instrText xml:space="preserve"> HYPERLINK  \l "_Toc503474030"</w:instrText>
      </w:r>
      <w:r>
        <w:rPr>
          <w:rFonts w:hint="eastAsia"/>
        </w:rPr>
        <w:fldChar w:fldCharType="separate"/>
      </w:r>
      <w:r>
        <w:rPr>
          <w:rFonts w:hint="eastAsia" w:ascii="ＭＳ 明朝" w:hAnsi="ＭＳ 明朝" w:eastAsia="ＭＳ 明朝"/>
        </w:rPr>
        <w:t>１）推進体制</w:t>
      </w:r>
      <w:r>
        <w:rPr>
          <w:rFonts w:hint="eastAsia" w:ascii="ＭＳ 明朝" w:hAnsi="ＭＳ 明朝" w:eastAsia="ＭＳ 明朝"/>
        </w:rPr>
        <w:tab/>
      </w:r>
      <w:r>
        <w:rPr>
          <w:rFonts w:hint="eastAsia"/>
        </w:rPr>
        <w:fldChar w:fldCharType="end"/>
      </w:r>
      <w:r>
        <w:rPr>
          <w:rFonts w:hint="eastAsia" w:ascii="ＭＳ 明朝" w:hAnsi="ＭＳ 明朝" w:eastAsia="ＭＳ 明朝"/>
        </w:rPr>
        <w:t>９</w:t>
      </w:r>
    </w:p>
    <w:p>
      <w:pPr>
        <w:pStyle w:val="28"/>
        <w:tabs>
          <w:tab w:val="right" w:leader="middleDot" w:pos="9741"/>
        </w:tabs>
        <w:rPr>
          <w:rFonts w:hint="eastAsia" w:ascii="ＭＳ 明朝" w:hAnsi="ＭＳ 明朝" w:eastAsia="ＭＳ 明朝"/>
          <w:sz w:val="21"/>
        </w:rPr>
      </w:pPr>
      <w:r>
        <w:rPr>
          <w:rFonts w:hint="eastAsia" w:ascii="ＭＳ 明朝" w:hAnsi="ＭＳ 明朝" w:eastAsia="ＭＳ 明朝"/>
        </w:rPr>
        <w:t>　（</w:t>
      </w:r>
      <w:r>
        <w:rPr>
          <w:rFonts w:hint="eastAsia"/>
        </w:rPr>
        <w:fldChar w:fldCharType="begin"/>
      </w:r>
      <w:r>
        <w:rPr>
          <w:rFonts w:hint="eastAsia"/>
        </w:rPr>
        <w:instrText xml:space="preserve"> HYPERLINK  \l "_Toc503474031"</w:instrText>
      </w:r>
      <w:r>
        <w:rPr>
          <w:rFonts w:hint="eastAsia"/>
        </w:rPr>
        <w:fldChar w:fldCharType="separate"/>
      </w:r>
      <w:r>
        <w:rPr>
          <w:rFonts w:hint="eastAsia" w:ascii="ＭＳ 明朝" w:hAnsi="ＭＳ 明朝" w:eastAsia="ＭＳ 明朝"/>
        </w:rPr>
        <w:t>２）検証見直し</w:t>
      </w:r>
      <w:r>
        <w:rPr>
          <w:rFonts w:hint="eastAsia" w:ascii="ＭＳ 明朝" w:hAnsi="ＭＳ 明朝" w:eastAsia="ＭＳ 明朝"/>
        </w:rPr>
        <w:tab/>
      </w:r>
      <w:r>
        <w:rPr>
          <w:rFonts w:hint="eastAsia"/>
        </w:rPr>
        <w:fldChar w:fldCharType="end"/>
      </w:r>
      <w:r>
        <w:rPr>
          <w:rFonts w:hint="eastAsia" w:ascii="ＭＳ 明朝" w:hAnsi="ＭＳ 明朝" w:eastAsia="ＭＳ 明朝"/>
        </w:rPr>
        <w:t>９</w:t>
      </w:r>
    </w:p>
    <w:p>
      <w:pPr>
        <w:pStyle w:val="28"/>
        <w:tabs>
          <w:tab w:val="right" w:leader="middleDot" w:pos="9741"/>
        </w:tabs>
        <w:rPr>
          <w:rFonts w:hint="eastAsia" w:ascii="ＭＳ 明朝" w:hAnsi="ＭＳ 明朝" w:eastAsia="ＭＳ 明朝"/>
          <w:sz w:val="21"/>
        </w:rPr>
      </w:pPr>
      <w:r>
        <w:rPr>
          <w:rFonts w:hint="eastAsia" w:ascii="ＭＳ 明朝" w:hAnsi="ＭＳ 明朝" w:eastAsia="ＭＳ 明朝"/>
        </w:rPr>
        <w:t>　（</w:t>
      </w:r>
      <w:r>
        <w:rPr>
          <w:rFonts w:hint="eastAsia"/>
        </w:rPr>
        <w:fldChar w:fldCharType="begin"/>
      </w:r>
      <w:r>
        <w:rPr>
          <w:rFonts w:hint="eastAsia"/>
        </w:rPr>
        <w:instrText xml:space="preserve"> HYPERLINK  \l "_Toc503474032"</w:instrText>
      </w:r>
      <w:r>
        <w:rPr>
          <w:rFonts w:hint="eastAsia"/>
        </w:rPr>
        <w:fldChar w:fldCharType="separate"/>
      </w:r>
      <w:r>
        <w:rPr>
          <w:rFonts w:hint="eastAsia" w:ascii="ＭＳ 明朝" w:hAnsi="ＭＳ 明朝" w:eastAsia="ＭＳ 明朝"/>
        </w:rPr>
        <w:t>３）県・市町の役割分担</w:t>
      </w:r>
      <w:r>
        <w:rPr>
          <w:rFonts w:hint="eastAsia" w:ascii="ＭＳ 明朝" w:hAnsi="ＭＳ 明朝" w:eastAsia="ＭＳ 明朝"/>
        </w:rPr>
        <w:tab/>
      </w:r>
      <w:r>
        <w:rPr>
          <w:rFonts w:hint="eastAsia"/>
        </w:rPr>
        <w:fldChar w:fldCharType="end"/>
      </w:r>
      <w:r>
        <w:rPr>
          <w:rFonts w:hint="eastAsia" w:ascii="ＭＳ 明朝" w:hAnsi="ＭＳ 明朝" w:eastAsia="ＭＳ 明朝"/>
        </w:rPr>
        <w:t>９</w:t>
      </w:r>
    </w:p>
    <w:p>
      <w:pPr>
        <w:pStyle w:val="28"/>
        <w:tabs>
          <w:tab w:val="right" w:leader="middleDot" w:pos="9741"/>
        </w:tabs>
        <w:rPr>
          <w:rFonts w:hint="eastAsia" w:ascii="ＭＳ 明朝" w:hAnsi="ＭＳ 明朝" w:eastAsia="ＭＳ 明朝"/>
          <w:sz w:val="21"/>
        </w:rPr>
      </w:pPr>
      <w:r>
        <w:rPr>
          <w:rFonts w:hint="eastAsia" w:ascii="ＭＳ 明朝" w:hAnsi="ＭＳ 明朝" w:eastAsia="ＭＳ 明朝"/>
        </w:rPr>
        <w:t>　（</w:t>
      </w:r>
      <w:r>
        <w:rPr>
          <w:rFonts w:hint="eastAsia"/>
        </w:rPr>
        <w:fldChar w:fldCharType="begin"/>
      </w:r>
      <w:r>
        <w:rPr>
          <w:rFonts w:hint="eastAsia"/>
        </w:rPr>
        <w:instrText xml:space="preserve"> HYPERLINK  \l "_Toc503474035"</w:instrText>
      </w:r>
      <w:r>
        <w:rPr>
          <w:rFonts w:hint="eastAsia"/>
        </w:rPr>
        <w:fldChar w:fldCharType="separate"/>
      </w:r>
      <w:r>
        <w:rPr>
          <w:rFonts w:hint="eastAsia" w:ascii="ＭＳ 明朝" w:hAnsi="ＭＳ 明朝" w:eastAsia="ＭＳ 明朝"/>
        </w:rPr>
        <w:t>４）県民の役割</w:t>
      </w:r>
      <w:r>
        <w:rPr>
          <w:rFonts w:hint="eastAsia" w:ascii="ＭＳ 明朝" w:hAnsi="ＭＳ 明朝" w:eastAsia="ＭＳ 明朝"/>
        </w:rPr>
        <w:tab/>
      </w:r>
      <w:r>
        <w:rPr>
          <w:rFonts w:hint="eastAsia"/>
        </w:rPr>
        <w:fldChar w:fldCharType="end"/>
      </w:r>
      <w:r>
        <w:rPr>
          <w:rFonts w:hint="eastAsia" w:ascii="ＭＳ 明朝" w:hAnsi="ＭＳ 明朝" w:eastAsia="ＭＳ 明朝"/>
        </w:rPr>
        <w:t>10</w:t>
      </w:r>
    </w:p>
    <w:p>
      <w:pPr>
        <w:pStyle w:val="0"/>
        <w:tabs>
          <w:tab w:val="right" w:leader="middleDot" w:pos="9741"/>
        </w:tabs>
        <w:rPr>
          <w:rFonts w:hint="default" w:ascii="Century" w:hAnsi="Century"/>
          <w:sz w:val="21"/>
        </w:rPr>
      </w:pPr>
    </w:p>
    <w:p>
      <w:pPr>
        <w:pStyle w:val="30"/>
        <w:tabs>
          <w:tab w:val="right" w:leader="middleDot" w:pos="9741"/>
        </w:tabs>
        <w:rPr>
          <w:rFonts w:hint="default" w:ascii="Century" w:hAnsi="Century" w:eastAsia="ＭＳ 明朝"/>
          <w:sz w:val="21"/>
        </w:rPr>
      </w:pPr>
      <w:r>
        <w:rPr>
          <w:rFonts w:hint="eastAsia" w:ascii="ＭＳ ゴシック" w:hAnsi="ＭＳ ゴシック"/>
          <w:b w:val="1"/>
        </w:rPr>
        <w:t>Ⅱ　障害のある人を取り巻く状況</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"_Toc503474020"</w:instrText>
      </w:r>
      <w:r>
        <w:rPr>
          <w:rFonts w:hint="eastAsia"/>
        </w:rPr>
        <w:fldChar w:fldCharType="separate"/>
      </w:r>
      <w:r>
        <w:rPr>
          <w:rFonts w:hint="eastAsia" w:ascii="ＭＳ 明朝" w:hAnsi="ＭＳ 明朝" w:eastAsia="ＭＳ 明朝"/>
        </w:rPr>
        <w:t>１　障害のある人の状況</w:t>
      </w:r>
      <w:r>
        <w:rPr>
          <w:rFonts w:hint="eastAsia" w:ascii="ＭＳ 明朝" w:hAnsi="ＭＳ 明朝" w:eastAsia="ＭＳ 明朝"/>
        </w:rPr>
        <w:tab/>
      </w:r>
      <w:r>
        <w:rPr>
          <w:rFonts w:hint="eastAsia"/>
        </w:rPr>
        <w:fldChar w:fldCharType="end"/>
      </w:r>
      <w:r>
        <w:rPr>
          <w:rFonts w:hint="eastAsia" w:ascii="ＭＳ 明朝" w:hAnsi="ＭＳ 明朝" w:eastAsia="ＭＳ 明朝"/>
        </w:rPr>
        <w:t>11</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"_Toc503474021"</w:instrText>
      </w:r>
      <w:r>
        <w:rPr>
          <w:rFonts w:hint="eastAsia"/>
        </w:rPr>
        <w:fldChar w:fldCharType="separate"/>
      </w:r>
      <w:r>
        <w:rPr>
          <w:rFonts w:hint="eastAsia" w:ascii="ＭＳ 明朝" w:hAnsi="ＭＳ 明朝" w:eastAsia="ＭＳ 明朝"/>
        </w:rPr>
        <w:t>（１）身体障害</w:t>
      </w:r>
      <w:r>
        <w:rPr>
          <w:rFonts w:hint="eastAsia" w:ascii="ＭＳ 明朝" w:hAnsi="ＭＳ 明朝" w:eastAsia="ＭＳ 明朝"/>
        </w:rPr>
        <w:tab/>
      </w:r>
      <w:r>
        <w:rPr>
          <w:rFonts w:hint="eastAsia"/>
        </w:rPr>
        <w:fldChar w:fldCharType="end"/>
      </w:r>
      <w:r>
        <w:rPr>
          <w:rFonts w:hint="eastAsia" w:ascii="ＭＳ 明朝" w:hAnsi="ＭＳ 明朝" w:eastAsia="ＭＳ 明朝"/>
        </w:rPr>
        <w:t>11</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"_Toc503474022"</w:instrText>
      </w:r>
      <w:r>
        <w:rPr>
          <w:rFonts w:hint="eastAsia"/>
        </w:rPr>
        <w:fldChar w:fldCharType="separate"/>
      </w:r>
      <w:r>
        <w:rPr>
          <w:rFonts w:hint="eastAsia" w:ascii="ＭＳ 明朝" w:hAnsi="ＭＳ 明朝" w:eastAsia="ＭＳ 明朝"/>
        </w:rPr>
        <w:t>（２）知的障害</w:t>
      </w:r>
      <w:r>
        <w:rPr>
          <w:rFonts w:hint="eastAsia" w:ascii="ＭＳ 明朝" w:hAnsi="ＭＳ 明朝" w:eastAsia="ＭＳ 明朝"/>
        </w:rPr>
        <w:tab/>
      </w:r>
      <w:r>
        <w:rPr>
          <w:rFonts w:hint="eastAsia"/>
        </w:rPr>
        <w:fldChar w:fldCharType="end"/>
      </w:r>
      <w:r>
        <w:rPr>
          <w:rFonts w:hint="eastAsia" w:ascii="ＭＳ 明朝" w:hAnsi="ＭＳ 明朝" w:eastAsia="ＭＳ 明朝"/>
        </w:rPr>
        <w:t>12</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"_Toc503474023"</w:instrText>
      </w:r>
      <w:r>
        <w:rPr>
          <w:rFonts w:hint="eastAsia"/>
        </w:rPr>
        <w:fldChar w:fldCharType="separate"/>
      </w:r>
      <w:r>
        <w:rPr>
          <w:rFonts w:hint="eastAsia" w:ascii="ＭＳ 明朝" w:hAnsi="ＭＳ 明朝" w:eastAsia="ＭＳ 明朝"/>
        </w:rPr>
        <w:t>（３）精神障害</w:t>
      </w:r>
      <w:r>
        <w:rPr>
          <w:rFonts w:hint="eastAsia" w:ascii="ＭＳ 明朝" w:hAnsi="ＭＳ 明朝" w:eastAsia="ＭＳ 明朝"/>
        </w:rPr>
        <w:tab/>
      </w:r>
      <w:r>
        <w:rPr>
          <w:rFonts w:hint="eastAsia"/>
        </w:rPr>
        <w:fldChar w:fldCharType="end"/>
      </w:r>
      <w:r>
        <w:rPr>
          <w:rFonts w:hint="eastAsia" w:ascii="ＭＳ 明朝" w:hAnsi="ＭＳ 明朝" w:eastAsia="ＭＳ 明朝"/>
        </w:rPr>
        <w:t>13</w:t>
      </w:r>
    </w:p>
    <w:p>
      <w:pPr>
        <w:pStyle w:val="31"/>
        <w:tabs>
          <w:tab w:val="right" w:leader="middleDot" w:pos="9741"/>
        </w:tabs>
        <w:rPr>
          <w:rFonts w:hint="eastAsia" w:ascii="ＭＳ 明朝" w:hAnsi="ＭＳ 明朝" w:eastAsia="ＭＳ 明朝"/>
          <w:color w:val="auto"/>
          <w:sz w:val="21"/>
        </w:rPr>
      </w:pPr>
      <w:r>
        <w:rPr>
          <w:rFonts w:hint="eastAsia"/>
        </w:rPr>
        <w:fldChar w:fldCharType="begin"/>
      </w:r>
      <w:r>
        <w:rPr>
          <w:rFonts w:hint="eastAsia"/>
        </w:rPr>
        <w:instrText xml:space="preserve"> HYPERLINK  \l "_Toc503474025"</w:instrText>
      </w:r>
      <w:r>
        <w:rPr>
          <w:rFonts w:hint="eastAsia"/>
        </w:rPr>
        <w:fldChar w:fldCharType="separate"/>
      </w:r>
      <w:r>
        <w:rPr>
          <w:rFonts w:hint="eastAsia" w:ascii="ＭＳ 明朝" w:hAnsi="ＭＳ 明朝" w:eastAsia="ＭＳ 明朝"/>
          <w:color w:val="auto"/>
        </w:rPr>
        <w:t>（４）重症心身障害児（者）及び医療的ケア児（者）</w:t>
      </w:r>
      <w:r>
        <w:rPr>
          <w:rFonts w:hint="eastAsia" w:ascii="ＭＳ 明朝" w:hAnsi="ＭＳ 明朝" w:eastAsia="ＭＳ 明朝"/>
          <w:color w:val="auto"/>
        </w:rPr>
        <w:tab/>
      </w:r>
      <w:r>
        <w:rPr>
          <w:rFonts w:hint="eastAsia"/>
        </w:rPr>
        <w:fldChar w:fldCharType="end"/>
      </w:r>
      <w:r>
        <w:rPr>
          <w:rFonts w:hint="eastAsia" w:ascii="ＭＳ 明朝" w:hAnsi="ＭＳ 明朝" w:eastAsia="ＭＳ 明朝"/>
          <w:color w:val="auto"/>
        </w:rPr>
        <w:t>13</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"_Toc503474026"</w:instrText>
      </w:r>
      <w:r>
        <w:rPr>
          <w:rFonts w:hint="eastAsia"/>
        </w:rPr>
        <w:fldChar w:fldCharType="separate"/>
      </w:r>
      <w:r>
        <w:rPr>
          <w:rFonts w:hint="eastAsia" w:ascii="ＭＳ 明朝" w:hAnsi="ＭＳ 明朝" w:eastAsia="ＭＳ 明朝"/>
          <w:color w:val="auto"/>
        </w:rPr>
        <w:t>（５）発達障害及び強度行動障害</w:t>
      </w:r>
      <w:r>
        <w:rPr>
          <w:rFonts w:hint="eastAsia" w:ascii="ＭＳ 明朝" w:hAnsi="ＭＳ 明朝" w:eastAsia="ＭＳ 明朝"/>
          <w:color w:val="auto"/>
        </w:rPr>
        <w:tab/>
      </w:r>
      <w:r>
        <w:rPr>
          <w:rFonts w:hint="eastAsia"/>
        </w:rPr>
        <w:fldChar w:fldCharType="end"/>
      </w:r>
      <w:r>
        <w:rPr>
          <w:rFonts w:hint="eastAsia" w:ascii="ＭＳ 明朝" w:hAnsi="ＭＳ 明朝" w:eastAsia="ＭＳ 明朝"/>
        </w:rPr>
        <w:t>14</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"_Toc503474027"</w:instrText>
      </w:r>
      <w:r>
        <w:rPr>
          <w:rFonts w:hint="eastAsia"/>
        </w:rPr>
        <w:fldChar w:fldCharType="separate"/>
      </w:r>
      <w:r>
        <w:rPr>
          <w:rFonts w:hint="eastAsia" w:ascii="ＭＳ 明朝" w:hAnsi="ＭＳ 明朝" w:eastAsia="ＭＳ 明朝"/>
        </w:rPr>
        <w:t>（６）難病等</w:t>
      </w:r>
      <w:r>
        <w:rPr>
          <w:rFonts w:hint="eastAsia" w:ascii="ＭＳ 明朝" w:hAnsi="ＭＳ 明朝" w:eastAsia="ＭＳ 明朝"/>
        </w:rPr>
        <w:tab/>
      </w:r>
      <w:r>
        <w:rPr>
          <w:rFonts w:hint="eastAsia"/>
        </w:rPr>
        <w:fldChar w:fldCharType="end"/>
      </w:r>
      <w:r>
        <w:rPr>
          <w:rFonts w:hint="eastAsia" w:ascii="ＭＳ 明朝" w:hAnsi="ＭＳ 明朝" w:eastAsia="ＭＳ 明朝"/>
        </w:rPr>
        <w:t>14</w:t>
      </w:r>
    </w:p>
    <w:p>
      <w:pPr>
        <w:pStyle w:val="0"/>
        <w:tabs>
          <w:tab w:val="right" w:leader="middleDot" w:pos="9741"/>
        </w:tabs>
        <w:rPr>
          <w:rFonts w:hint="default" w:ascii="Century" w:hAnsi="Century"/>
          <w:sz w:val="21"/>
        </w:rPr>
      </w:pPr>
    </w:p>
    <w:p>
      <w:pPr>
        <w:pStyle w:val="30"/>
        <w:tabs>
          <w:tab w:val="right" w:leader="middleDot" w:pos="9741"/>
        </w:tabs>
        <w:rPr>
          <w:rFonts w:hint="default" w:ascii="Century" w:hAnsi="Century" w:eastAsia="ＭＳ 明朝"/>
          <w:sz w:val="21"/>
        </w:rPr>
      </w:pPr>
      <w:r>
        <w:rPr>
          <w:rFonts w:hint="eastAsia"/>
        </w:rPr>
        <w:fldChar w:fldCharType="begin"/>
      </w:r>
      <w:r>
        <w:rPr>
          <w:rFonts w:hint="eastAsia"/>
        </w:rPr>
        <w:instrText xml:space="preserve"> HYPERLINK  \l "_Toc503474029"</w:instrText>
      </w:r>
      <w:r>
        <w:rPr>
          <w:rFonts w:hint="eastAsia"/>
        </w:rPr>
        <w:fldChar w:fldCharType="separate"/>
      </w:r>
      <w:r>
        <w:rPr>
          <w:rFonts w:hint="eastAsia"/>
          <w:b w:val="1"/>
        </w:rPr>
        <w:t>Ⅲ　計画の基本的方向性</w:t>
      </w:r>
      <w:r>
        <w:rPr>
          <w:rFonts w:hint="eastAsia"/>
        </w:rPr>
        <w:fldChar w:fldCharType="end"/>
      </w:r>
    </w:p>
    <w:p>
      <w:pPr>
        <w:pStyle w:val="28"/>
        <w:tabs>
          <w:tab w:val="right" w:leader="middleDot" w:pos="9741"/>
        </w:tabs>
        <w:rPr>
          <w:rFonts w:hint="eastAsia" w:ascii="ＭＳ 明朝" w:hAnsi="ＭＳ 明朝" w:eastAsia="ＭＳ 明朝"/>
          <w:sz w:val="21"/>
        </w:rPr>
      </w:pPr>
      <w:r>
        <w:rPr>
          <w:rFonts w:hint="eastAsia" w:ascii="ＭＳ 明朝" w:hAnsi="ＭＳ 明朝" w:eastAsia="ＭＳ 明朝"/>
        </w:rPr>
        <w:t>１</w:t>
      </w:r>
      <w:r>
        <w:rPr>
          <w:rFonts w:hint="eastAsia"/>
        </w:rPr>
        <w:fldChar w:fldCharType="begin"/>
      </w:r>
      <w:r>
        <w:rPr>
          <w:rFonts w:hint="eastAsia"/>
        </w:rPr>
        <w:instrText xml:space="preserve"> HYPERLINK  \l "_Toc503474015"</w:instrText>
      </w:r>
      <w:r>
        <w:rPr>
          <w:rFonts w:hint="eastAsia"/>
        </w:rPr>
        <w:fldChar w:fldCharType="separate"/>
      </w:r>
      <w:r>
        <w:rPr>
          <w:rFonts w:hint="eastAsia" w:ascii="ＭＳ 明朝" w:hAnsi="ＭＳ 明朝" w:eastAsia="ＭＳ 明朝"/>
        </w:rPr>
        <w:t>　基本理念と基本目標</w:t>
      </w:r>
      <w:r>
        <w:rPr>
          <w:rFonts w:hint="eastAsia" w:ascii="ＭＳ 明朝" w:hAnsi="ＭＳ 明朝" w:eastAsia="ＭＳ 明朝"/>
        </w:rPr>
        <w:tab/>
      </w:r>
      <w:r>
        <w:rPr>
          <w:rFonts w:hint="eastAsia"/>
        </w:rPr>
        <w:fldChar w:fldCharType="end"/>
      </w:r>
      <w:r>
        <w:rPr>
          <w:rFonts w:hint="eastAsia" w:ascii="ＭＳ 明朝" w:hAnsi="ＭＳ 明朝" w:eastAsia="ＭＳ 明朝"/>
        </w:rPr>
        <w:t>15</w:t>
      </w:r>
    </w:p>
    <w:p>
      <w:pPr>
        <w:pStyle w:val="28"/>
        <w:tabs>
          <w:tab w:val="right" w:leader="middleDot" w:pos="9741"/>
        </w:tabs>
        <w:rPr>
          <w:rFonts w:hint="eastAsia" w:ascii="ＭＳ 明朝" w:hAnsi="ＭＳ 明朝" w:eastAsia="ＭＳ 明朝"/>
          <w:sz w:val="21"/>
        </w:rPr>
      </w:pPr>
      <w:r>
        <w:rPr>
          <w:rFonts w:hint="eastAsia" w:ascii="ＭＳ 明朝" w:hAnsi="ＭＳ 明朝" w:eastAsia="ＭＳ 明朝"/>
        </w:rPr>
        <w:t>２</w:t>
      </w:r>
      <w:r>
        <w:rPr>
          <w:rFonts w:hint="eastAsia"/>
        </w:rPr>
        <w:fldChar w:fldCharType="begin"/>
      </w:r>
      <w:r>
        <w:rPr>
          <w:rFonts w:hint="eastAsia"/>
        </w:rPr>
        <w:instrText xml:space="preserve"> HYPERLINK  \l "_Toc503474015"</w:instrText>
      </w:r>
      <w:r>
        <w:rPr>
          <w:rFonts w:hint="eastAsia"/>
        </w:rPr>
        <w:fldChar w:fldCharType="separate"/>
      </w:r>
      <w:r>
        <w:rPr>
          <w:rFonts w:hint="eastAsia" w:ascii="ＭＳ 明朝" w:hAnsi="ＭＳ 明朝" w:eastAsia="ＭＳ 明朝"/>
        </w:rPr>
        <w:t>　第５次障害者計画における重点施策</w:t>
      </w:r>
      <w:r>
        <w:rPr>
          <w:rFonts w:hint="eastAsia" w:ascii="ＭＳ 明朝" w:hAnsi="ＭＳ 明朝" w:eastAsia="ＭＳ 明朝"/>
        </w:rPr>
        <w:tab/>
      </w:r>
      <w:r>
        <w:rPr>
          <w:rFonts w:hint="eastAsia"/>
        </w:rPr>
        <w:fldChar w:fldCharType="end"/>
      </w:r>
      <w:r>
        <w:rPr>
          <w:rFonts w:hint="eastAsia" w:ascii="ＭＳ 明朝" w:hAnsi="ＭＳ 明朝" w:eastAsia="ＭＳ 明朝"/>
        </w:rPr>
        <w:t>16</w:t>
      </w:r>
    </w:p>
    <w:p>
      <w:pPr>
        <w:pStyle w:val="28"/>
        <w:tabs>
          <w:tab w:val="right" w:leader="middleDot" w:pos="9741"/>
        </w:tabs>
        <w:rPr>
          <w:rFonts w:hint="eastAsia" w:ascii="ＭＳ 明朝" w:hAnsi="ＭＳ 明朝" w:eastAsia="ＭＳ 明朝"/>
          <w:sz w:val="21"/>
        </w:rPr>
      </w:pPr>
      <w:r>
        <w:rPr>
          <w:rFonts w:hint="eastAsia" w:ascii="ＭＳ 明朝" w:hAnsi="ＭＳ 明朝" w:eastAsia="ＭＳ 明朝"/>
        </w:rPr>
        <w:t>３</w:t>
      </w:r>
      <w:r>
        <w:rPr>
          <w:rFonts w:hint="eastAsia"/>
        </w:rPr>
        <w:fldChar w:fldCharType="begin"/>
      </w:r>
      <w:r>
        <w:rPr>
          <w:rFonts w:hint="eastAsia"/>
        </w:rPr>
        <w:instrText xml:space="preserve"> HYPERLINK  \l "_Toc503474016"</w:instrText>
      </w:r>
      <w:r>
        <w:rPr>
          <w:rFonts w:hint="eastAsia"/>
        </w:rPr>
        <w:fldChar w:fldCharType="separate"/>
      </w:r>
      <w:r>
        <w:rPr>
          <w:rFonts w:hint="eastAsia" w:ascii="ＭＳ 明朝" w:hAnsi="ＭＳ 明朝" w:eastAsia="ＭＳ 明朝"/>
        </w:rPr>
        <w:t>　施策の体系</w:t>
      </w:r>
      <w:r>
        <w:rPr>
          <w:rFonts w:hint="eastAsia" w:ascii="ＭＳ 明朝" w:hAnsi="ＭＳ 明朝" w:eastAsia="ＭＳ 明朝"/>
        </w:rPr>
        <w:tab/>
      </w:r>
      <w:r>
        <w:rPr>
          <w:rFonts w:hint="eastAsia"/>
        </w:rPr>
        <w:fldChar w:fldCharType="end"/>
      </w:r>
      <w:r>
        <w:rPr>
          <w:rFonts w:hint="eastAsia" w:ascii="ＭＳ 明朝" w:hAnsi="ＭＳ 明朝" w:eastAsia="ＭＳ 明朝"/>
        </w:rPr>
        <w:t>18</w:t>
      </w:r>
    </w:p>
    <w:p>
      <w:pPr>
        <w:pStyle w:val="28"/>
        <w:tabs>
          <w:tab w:val="right" w:leader="middleDot" w:pos="9741"/>
        </w:tabs>
        <w:rPr>
          <w:rFonts w:hint="eastAsia" w:ascii="ＭＳ 明朝" w:hAnsi="ＭＳ 明朝" w:eastAsia="ＭＳ 明朝"/>
          <w:sz w:val="21"/>
        </w:rPr>
      </w:pPr>
    </w:p>
    <w:p>
      <w:pPr>
        <w:pStyle w:val="30"/>
        <w:tabs>
          <w:tab w:val="right" w:leader="middleDot" w:pos="9741"/>
        </w:tabs>
        <w:rPr>
          <w:rFonts w:hint="default"/>
        </w:rPr>
      </w:pPr>
    </w:p>
    <w:p>
      <w:pPr>
        <w:pStyle w:val="0"/>
        <w:tabs>
          <w:tab w:val="right" w:leader="middleDot" w:pos="9741"/>
        </w:tabs>
        <w:rPr>
          <w:rFonts w:hint="default"/>
        </w:rPr>
      </w:pPr>
    </w:p>
    <w:p>
      <w:pPr>
        <w:pStyle w:val="0"/>
        <w:rPr>
          <w:rFonts w:hint="default" w:ascii="ＭＳ ゴシック" w:hAnsi="ＭＳ ゴシック" w:eastAsia="ＭＳ ゴシック"/>
          <w:b w:val="1"/>
        </w:rPr>
      </w:pPr>
      <w:r>
        <w:rPr>
          <w:rFonts w:hint="eastAsia" w:ascii="ＭＳ ゴシック" w:hAnsi="ＭＳ ゴシック" w:eastAsia="ＭＳ ゴシック"/>
          <w:b w:val="1"/>
        </w:rPr>
        <w:t>【第２部】各論</w:t>
      </w:r>
    </w:p>
    <w:p>
      <w:pPr>
        <w:pStyle w:val="30"/>
        <w:tabs>
          <w:tab w:val="right" w:leader="middleDot" w:pos="9741"/>
        </w:tabs>
        <w:rPr>
          <w:rFonts w:hint="default" w:ascii="Century" w:hAnsi="Century" w:eastAsia="ＭＳ 明朝"/>
          <w:sz w:val="21"/>
        </w:rPr>
      </w:pPr>
      <w:r>
        <w:rPr>
          <w:rFonts w:hint="eastAsia"/>
        </w:rPr>
        <w:fldChar w:fldCharType="begin"/>
      </w:r>
      <w:r>
        <w:rPr>
          <w:rFonts w:hint="eastAsia"/>
        </w:rPr>
        <w:instrText xml:space="preserve"> HYPERLINK  \l "_Toc503474036"</w:instrText>
      </w:r>
      <w:r>
        <w:rPr>
          <w:rFonts w:hint="eastAsia"/>
        </w:rPr>
        <w:fldChar w:fldCharType="separate"/>
      </w:r>
      <w:r>
        <w:rPr>
          <w:rFonts w:hint="eastAsia" w:ascii="ＭＳ ゴシック" w:hAnsi="ＭＳ ゴシック"/>
          <w:b w:val="1"/>
        </w:rPr>
        <w:t>Ⅰ　障害に対する理解と相互交流の促進</w:t>
      </w:r>
      <w:r>
        <w:rPr>
          <w:rFonts w:hint="eastAsia"/>
        </w:rPr>
        <w:fldChar w:fldCharType="end"/>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"_Toc503474037"</w:instrText>
      </w:r>
      <w:r>
        <w:rPr>
          <w:rFonts w:hint="eastAsia"/>
        </w:rPr>
        <w:fldChar w:fldCharType="separate"/>
      </w:r>
      <w:r>
        <w:rPr>
          <w:rFonts w:hint="eastAsia" w:ascii="ＭＳ 明朝" w:hAnsi="ＭＳ 明朝" w:eastAsia="ＭＳ 明朝"/>
        </w:rPr>
        <w:t>１　障害者差別解消条例に基づく不当な差別の禁止と合理的配慮の提供の推進</w:t>
      </w:r>
      <w:r>
        <w:rPr>
          <w:rFonts w:hint="eastAsia" w:ascii="ＭＳ 明朝" w:hAnsi="ＭＳ 明朝" w:eastAsia="ＭＳ 明朝"/>
        </w:rPr>
        <w:tab/>
      </w:r>
      <w:r>
        <w:rPr>
          <w:rFonts w:hint="eastAsia"/>
        </w:rPr>
        <w:fldChar w:fldCharType="end"/>
      </w:r>
      <w:r>
        <w:rPr>
          <w:rFonts w:hint="eastAsia" w:ascii="ＭＳ 明朝" w:hAnsi="ＭＳ 明朝" w:eastAsia="ＭＳ 明朝"/>
        </w:rPr>
        <w:t>21</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"_Toc503474038"</w:instrText>
      </w:r>
      <w:r>
        <w:rPr>
          <w:rFonts w:hint="eastAsia"/>
        </w:rPr>
        <w:fldChar w:fldCharType="separate"/>
      </w:r>
      <w:r>
        <w:rPr>
          <w:rFonts w:hint="eastAsia" w:ascii="ＭＳ 明朝" w:hAnsi="ＭＳ 明朝" w:eastAsia="ＭＳ 明朝"/>
        </w:rPr>
        <w:t>（１）差別解消の推進</w:t>
      </w:r>
      <w:r>
        <w:rPr>
          <w:rFonts w:hint="eastAsia" w:ascii="ＭＳ 明朝" w:hAnsi="ＭＳ 明朝" w:eastAsia="ＭＳ 明朝"/>
        </w:rPr>
        <w:tab/>
      </w:r>
      <w:r>
        <w:rPr>
          <w:rFonts w:hint="eastAsia" w:ascii="ＭＳ 明朝" w:hAnsi="ＭＳ 明朝" w:eastAsia="ＭＳ 明朝"/>
        </w:rPr>
        <w:t>2</w:t>
      </w:r>
      <w:r>
        <w:rPr>
          <w:rFonts w:hint="eastAsia"/>
        </w:rPr>
        <w:fldChar w:fldCharType="end"/>
      </w:r>
      <w:r>
        <w:rPr>
          <w:rFonts w:hint="eastAsia" w:ascii="ＭＳ 明朝" w:hAnsi="ＭＳ 明朝" w:eastAsia="ＭＳ 明朝"/>
        </w:rPr>
        <w:t>1</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"_Toc503474039"</w:instrText>
      </w:r>
      <w:r>
        <w:rPr>
          <w:rFonts w:hint="eastAsia"/>
        </w:rPr>
        <w:fldChar w:fldCharType="separate"/>
      </w:r>
      <w:r>
        <w:rPr>
          <w:rFonts w:hint="eastAsia" w:ascii="ＭＳ 明朝" w:hAnsi="ＭＳ 明朝" w:eastAsia="ＭＳ 明朝"/>
        </w:rPr>
        <w:t>（２）権利擁護の推進</w:t>
      </w:r>
      <w:r>
        <w:rPr>
          <w:rFonts w:hint="eastAsia" w:ascii="ＭＳ 明朝" w:hAnsi="ＭＳ 明朝" w:eastAsia="ＭＳ 明朝"/>
        </w:rPr>
        <w:tab/>
      </w:r>
      <w:r>
        <w:rPr>
          <w:rFonts w:hint="eastAsia"/>
        </w:rPr>
        <w:fldChar w:fldCharType="end"/>
      </w:r>
      <w:r>
        <w:rPr>
          <w:rFonts w:hint="eastAsia" w:ascii="ＭＳ 明朝" w:hAnsi="ＭＳ 明朝" w:eastAsia="ＭＳ 明朝"/>
        </w:rPr>
        <w:t>24</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"_Toc503474040"</w:instrText>
      </w:r>
      <w:r>
        <w:rPr>
          <w:rFonts w:hint="eastAsia"/>
        </w:rPr>
        <w:fldChar w:fldCharType="separate"/>
      </w:r>
      <w:r>
        <w:rPr>
          <w:rFonts w:hint="eastAsia" w:ascii="ＭＳ 明朝" w:hAnsi="ＭＳ 明朝" w:eastAsia="ＭＳ 明朝"/>
        </w:rPr>
        <w:t>（３）虐待防止対策の推進</w:t>
      </w:r>
      <w:r>
        <w:rPr>
          <w:rFonts w:hint="eastAsia" w:ascii="ＭＳ 明朝" w:hAnsi="ＭＳ 明朝" w:eastAsia="ＭＳ 明朝"/>
        </w:rPr>
        <w:tab/>
      </w:r>
      <w:r>
        <w:rPr>
          <w:rFonts w:hint="eastAsia" w:ascii="ＭＳ 明朝" w:hAnsi="ＭＳ 明朝" w:eastAsia="ＭＳ 明朝"/>
        </w:rPr>
        <w:t>2</w:t>
      </w:r>
      <w:r>
        <w:rPr>
          <w:rFonts w:hint="eastAsia"/>
        </w:rPr>
        <w:fldChar w:fldCharType="end"/>
      </w:r>
      <w:r>
        <w:rPr>
          <w:rFonts w:hint="eastAsia" w:ascii="ＭＳ 明朝" w:hAnsi="ＭＳ 明朝" w:eastAsia="ＭＳ 明朝"/>
        </w:rPr>
        <w:t>5</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"_Toc503474042"</w:instrText>
      </w:r>
      <w:r>
        <w:rPr>
          <w:rFonts w:hint="eastAsia"/>
        </w:rPr>
        <w:fldChar w:fldCharType="separate"/>
      </w:r>
      <w:r>
        <w:rPr>
          <w:rFonts w:hint="eastAsia" w:ascii="ＭＳ 明朝" w:hAnsi="ＭＳ 明朝" w:eastAsia="ＭＳ 明朝"/>
        </w:rPr>
        <w:t>（４）福祉教育・地域交流の推進</w:t>
      </w:r>
      <w:r>
        <w:rPr>
          <w:rFonts w:hint="eastAsia" w:ascii="ＭＳ 明朝" w:hAnsi="ＭＳ 明朝" w:eastAsia="ＭＳ 明朝"/>
        </w:rPr>
        <w:tab/>
      </w:r>
      <w:r>
        <w:rPr>
          <w:rFonts w:hint="eastAsia"/>
        </w:rPr>
        <w:fldChar w:fldCharType="end"/>
      </w:r>
      <w:r>
        <w:rPr>
          <w:rFonts w:hint="eastAsia" w:ascii="ＭＳ 明朝" w:hAnsi="ＭＳ 明朝" w:eastAsia="ＭＳ 明朝"/>
        </w:rPr>
        <w:t>26</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"_Toc503474043"</w:instrText>
      </w:r>
      <w:r>
        <w:rPr>
          <w:rFonts w:hint="eastAsia"/>
        </w:rPr>
        <w:fldChar w:fldCharType="separate"/>
      </w:r>
      <w:r>
        <w:rPr>
          <w:rFonts w:hint="eastAsia" w:ascii="ＭＳ 明朝" w:hAnsi="ＭＳ 明朝" w:eastAsia="ＭＳ 明朝"/>
        </w:rPr>
        <w:t>（５）関係団体等との協働の推進</w:t>
      </w:r>
      <w:r>
        <w:rPr>
          <w:rFonts w:hint="eastAsia" w:ascii="ＭＳ 明朝" w:hAnsi="ＭＳ 明朝" w:eastAsia="ＭＳ 明朝"/>
        </w:rPr>
        <w:tab/>
      </w:r>
      <w:r>
        <w:rPr>
          <w:rFonts w:hint="eastAsia"/>
        </w:rPr>
        <w:fldChar w:fldCharType="end"/>
      </w:r>
      <w:r>
        <w:rPr>
          <w:rFonts w:hint="eastAsia" w:ascii="ＭＳ 明朝" w:hAnsi="ＭＳ 明朝" w:eastAsia="ＭＳ 明朝"/>
        </w:rPr>
        <w:t>27</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"_Toc503474044"</w:instrText>
      </w:r>
      <w:r>
        <w:rPr>
          <w:rFonts w:hint="eastAsia"/>
        </w:rPr>
        <w:fldChar w:fldCharType="separate"/>
      </w:r>
      <w:r>
        <w:rPr>
          <w:rFonts w:hint="eastAsia" w:ascii="ＭＳ 明朝" w:hAnsi="ＭＳ 明朝" w:eastAsia="ＭＳ 明朝"/>
        </w:rPr>
        <w:t>（６）投票しやすい環境の整備</w:t>
      </w:r>
      <w:r>
        <w:rPr>
          <w:rFonts w:hint="eastAsia" w:ascii="ＭＳ 明朝" w:hAnsi="ＭＳ 明朝" w:eastAsia="ＭＳ 明朝"/>
        </w:rPr>
        <w:tab/>
      </w:r>
      <w:r>
        <w:rPr>
          <w:rFonts w:hint="eastAsia"/>
        </w:rPr>
        <w:fldChar w:fldCharType="end"/>
      </w:r>
      <w:r>
        <w:rPr>
          <w:rFonts w:hint="eastAsia" w:ascii="ＭＳ 明朝" w:hAnsi="ＭＳ 明朝" w:eastAsia="ＭＳ 明朝"/>
        </w:rPr>
        <w:t>27</w:t>
      </w:r>
    </w:p>
    <w:p>
      <w:pPr>
        <w:pStyle w:val="28"/>
        <w:tabs>
          <w:tab w:val="right" w:leader="middleDot" w:pos="9741"/>
        </w:tabs>
        <w:rPr>
          <w:rFonts w:hint="eastAsia" w:ascii="ＭＳ 明朝" w:hAnsi="ＭＳ 明朝" w:eastAsia="ＭＳ 明朝"/>
        </w:rPr>
      </w:pPr>
      <w:r>
        <w:rPr>
          <w:rFonts w:hint="eastAsia" w:ascii="ＭＳ 明朝" w:hAnsi="ＭＳ 明朝" w:eastAsia="ＭＳ 明朝"/>
        </w:rPr>
        <w:t>２　情報保障の推進</w:t>
      </w:r>
      <w:r>
        <w:rPr>
          <w:rFonts w:hint="eastAsia" w:ascii="ＭＳ 明朝" w:hAnsi="ＭＳ 明朝" w:eastAsia="ＭＳ 明朝"/>
        </w:rPr>
        <w:tab/>
      </w:r>
      <w:r>
        <w:rPr>
          <w:rFonts w:hint="eastAsia" w:ascii="ＭＳ 明朝" w:hAnsi="ＭＳ 明朝" w:eastAsia="ＭＳ 明朝"/>
        </w:rPr>
        <w:t>29</w:t>
      </w:r>
    </w:p>
    <w:p>
      <w:pPr>
        <w:pStyle w:val="0"/>
        <w:tabs>
          <w:tab w:val="right" w:leader="middleDot" w:pos="9741"/>
        </w:tabs>
        <w:rPr>
          <w:rFonts w:hint="eastAsia" w:ascii="ＭＳ 明朝" w:hAnsi="ＭＳ 明朝" w:eastAsia="ＭＳ 明朝"/>
        </w:rPr>
      </w:pPr>
      <w:r>
        <w:rPr>
          <w:rFonts w:hint="eastAsia" w:ascii="ＭＳ 明朝" w:hAnsi="ＭＳ 明朝" w:eastAsia="ＭＳ 明朝"/>
        </w:rPr>
        <w:t>　　（１）情報保障の推進</w:t>
      </w:r>
      <w:r>
        <w:rPr>
          <w:rFonts w:hint="eastAsia" w:ascii="ＭＳ 明朝" w:hAnsi="ＭＳ 明朝" w:eastAsia="ＭＳ 明朝"/>
        </w:rPr>
        <w:tab/>
      </w:r>
      <w:r>
        <w:rPr>
          <w:rFonts w:hint="eastAsia" w:ascii="ＭＳ 明朝" w:hAnsi="ＭＳ 明朝" w:eastAsia="ＭＳ 明朝"/>
        </w:rPr>
        <w:t>29</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"_Toc503474046"</w:instrText>
      </w:r>
      <w:r>
        <w:rPr>
          <w:rFonts w:hint="eastAsia"/>
        </w:rPr>
        <w:fldChar w:fldCharType="separate"/>
      </w:r>
      <w:r>
        <w:rPr>
          <w:rFonts w:hint="eastAsia" w:ascii="ＭＳ 明朝" w:hAnsi="ＭＳ 明朝" w:eastAsia="ＭＳ 明朝"/>
        </w:rPr>
        <w:t>３　障害者スポーツと文化芸術活動の振興</w:t>
      </w:r>
      <w:r>
        <w:rPr>
          <w:rFonts w:hint="eastAsia"/>
        </w:rPr>
        <w:fldChar w:fldCharType="end"/>
      </w:r>
      <w:r>
        <w:rPr>
          <w:rFonts w:hint="eastAsia" w:ascii="ＭＳ 明朝" w:hAnsi="ＭＳ 明朝" w:eastAsia="ＭＳ 明朝"/>
        </w:rPr>
        <w:tab/>
      </w:r>
      <w:r>
        <w:rPr>
          <w:rFonts w:hint="eastAsia" w:ascii="ＭＳ 明朝" w:hAnsi="ＭＳ 明朝" w:eastAsia="ＭＳ 明朝"/>
        </w:rPr>
        <w:t>32</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"_Toc503474048"</w:instrText>
      </w:r>
      <w:r>
        <w:rPr>
          <w:rFonts w:hint="eastAsia"/>
        </w:rPr>
        <w:fldChar w:fldCharType="separate"/>
      </w:r>
      <w:r>
        <w:rPr>
          <w:rFonts w:hint="eastAsia" w:ascii="ＭＳ 明朝" w:hAnsi="ＭＳ 明朝" w:eastAsia="ＭＳ 明朝"/>
        </w:rPr>
        <w:t>（１）障害者スポーツの振興</w:t>
      </w:r>
      <w:r>
        <w:rPr>
          <w:rFonts w:hint="eastAsia" w:ascii="ＭＳ 明朝" w:hAnsi="ＭＳ 明朝" w:eastAsia="ＭＳ 明朝"/>
        </w:rPr>
        <w:tab/>
      </w:r>
      <w:r>
        <w:rPr>
          <w:rFonts w:hint="eastAsia" w:ascii="ＭＳ 明朝" w:hAnsi="ＭＳ 明朝" w:eastAsia="ＭＳ 明朝"/>
        </w:rPr>
        <w:t>3</w:t>
      </w:r>
      <w:r>
        <w:rPr>
          <w:rFonts w:hint="eastAsia"/>
        </w:rPr>
        <w:fldChar w:fldCharType="end"/>
      </w:r>
      <w:r>
        <w:rPr>
          <w:rFonts w:hint="eastAsia" w:ascii="ＭＳ 明朝" w:hAnsi="ＭＳ 明朝" w:eastAsia="ＭＳ 明朝"/>
        </w:rPr>
        <w:t>2</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"_Toc503474049"</w:instrText>
      </w:r>
      <w:r>
        <w:rPr>
          <w:rFonts w:hint="eastAsia"/>
        </w:rPr>
        <w:fldChar w:fldCharType="separate"/>
      </w:r>
      <w:r>
        <w:rPr>
          <w:rFonts w:hint="eastAsia" w:ascii="ＭＳ 明朝" w:hAnsi="ＭＳ 明朝" w:eastAsia="ＭＳ 明朝"/>
        </w:rPr>
        <w:t>（２）文化芸術活動の振興</w:t>
      </w:r>
      <w:r>
        <w:rPr>
          <w:rFonts w:hint="eastAsia" w:ascii="ＭＳ 明朝" w:hAnsi="ＭＳ 明朝" w:eastAsia="ＭＳ 明朝"/>
        </w:rPr>
        <w:tab/>
      </w:r>
      <w:r>
        <w:rPr>
          <w:rFonts w:hint="eastAsia" w:ascii="ＭＳ 明朝" w:hAnsi="ＭＳ 明朝" w:eastAsia="ＭＳ 明朝"/>
        </w:rPr>
        <w:t>3</w:t>
      </w:r>
      <w:r>
        <w:rPr>
          <w:rFonts w:hint="eastAsia"/>
        </w:rPr>
        <w:fldChar w:fldCharType="end"/>
      </w:r>
      <w:r>
        <w:rPr>
          <w:rFonts w:hint="eastAsia" w:ascii="ＭＳ 明朝" w:hAnsi="ＭＳ 明朝" w:eastAsia="ＭＳ 明朝"/>
        </w:rPr>
        <w:t>3</w:t>
      </w:r>
    </w:p>
    <w:p>
      <w:pPr>
        <w:pStyle w:val="30"/>
        <w:tabs>
          <w:tab w:val="right" w:leader="middleDot" w:pos="9741"/>
        </w:tabs>
        <w:rPr>
          <w:rFonts w:hint="default" w:ascii="Century" w:hAnsi="Century"/>
          <w:dstrike w:val="1"/>
          <w:color w:val="0000FF"/>
          <w:sz w:val="21"/>
        </w:rPr>
      </w:pPr>
    </w:p>
    <w:p>
      <w:pPr>
        <w:pStyle w:val="30"/>
        <w:tabs>
          <w:tab w:val="right" w:leader="middleDot" w:pos="9741"/>
        </w:tabs>
        <w:rPr>
          <w:rFonts w:hint="default" w:ascii="Century" w:hAnsi="Century" w:eastAsia="ＭＳ 明朝"/>
          <w:sz w:val="21"/>
        </w:rPr>
      </w:pPr>
      <w:r>
        <w:rPr>
          <w:rFonts w:hint="eastAsia"/>
        </w:rPr>
        <w:fldChar w:fldCharType="begin"/>
      </w:r>
      <w:r>
        <w:rPr>
          <w:rFonts w:hint="eastAsia"/>
        </w:rPr>
        <w:instrText xml:space="preserve"> HYPERLINK  \l "_Toc503474066"</w:instrText>
      </w:r>
      <w:r>
        <w:rPr>
          <w:rFonts w:hint="eastAsia"/>
        </w:rPr>
        <w:fldChar w:fldCharType="separate"/>
      </w:r>
      <w:r>
        <w:rPr>
          <w:rFonts w:hint="eastAsia" w:ascii="ＭＳ ゴシック" w:hAnsi="ＭＳ ゴシック"/>
          <w:b w:val="1"/>
        </w:rPr>
        <w:t>Ⅱ　地域における自立を支える体制づくり</w:t>
      </w:r>
      <w:r>
        <w:rPr>
          <w:rFonts w:hint="eastAsia"/>
        </w:rPr>
        <w:fldChar w:fldCharType="end"/>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"_Toc503474067"</w:instrText>
      </w:r>
      <w:r>
        <w:rPr>
          <w:rFonts w:hint="eastAsia"/>
        </w:rPr>
        <w:fldChar w:fldCharType="separate"/>
      </w:r>
      <w:r>
        <w:rPr>
          <w:rFonts w:hint="eastAsia" w:ascii="ＭＳ 明朝" w:hAnsi="ＭＳ 明朝" w:eastAsia="ＭＳ 明朝"/>
        </w:rPr>
        <w:t>１　身近な相談支援体制整備の推進</w:t>
      </w:r>
      <w:r>
        <w:rPr>
          <w:rFonts w:hint="eastAsia" w:ascii="ＭＳ 明朝" w:hAnsi="ＭＳ 明朝" w:eastAsia="ＭＳ 明朝"/>
        </w:rPr>
        <w:tab/>
      </w:r>
      <w:r>
        <w:rPr>
          <w:rFonts w:hint="eastAsia"/>
        </w:rPr>
        <w:fldChar w:fldCharType="end"/>
      </w:r>
      <w:r>
        <w:rPr>
          <w:rFonts w:hint="eastAsia" w:ascii="ＭＳ 明朝" w:hAnsi="ＭＳ 明朝" w:eastAsia="ＭＳ 明朝"/>
        </w:rPr>
        <w:t>35</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"_Toc503474068"</w:instrText>
      </w:r>
      <w:r>
        <w:rPr>
          <w:rFonts w:hint="eastAsia"/>
        </w:rPr>
        <w:fldChar w:fldCharType="separate"/>
      </w:r>
      <w:r>
        <w:rPr>
          <w:rFonts w:hint="eastAsia" w:ascii="ＭＳ 明朝" w:hAnsi="ＭＳ 明朝" w:eastAsia="ＭＳ 明朝"/>
        </w:rPr>
        <w:t>（１）相談支援の充実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35</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"_Toc503474069"</w:instrText>
      </w:r>
      <w:r>
        <w:rPr>
          <w:rFonts w:hint="eastAsia"/>
        </w:rPr>
        <w:fldChar w:fldCharType="separate"/>
      </w:r>
      <w:r>
        <w:rPr>
          <w:rFonts w:hint="eastAsia" w:ascii="ＭＳ 明朝" w:hAnsi="ＭＳ 明朝" w:eastAsia="ＭＳ 明朝"/>
        </w:rPr>
        <w:t>（２）相談支援従事者等の人材育成</w:t>
      </w:r>
      <w:r>
        <w:rPr>
          <w:rFonts w:hint="eastAsia" w:ascii="ＭＳ 明朝" w:hAnsi="ＭＳ 明朝" w:eastAsia="ＭＳ 明朝"/>
        </w:rPr>
        <w:tab/>
      </w:r>
      <w:r>
        <w:rPr>
          <w:rFonts w:hint="eastAsia"/>
        </w:rPr>
        <w:fldChar w:fldCharType="end"/>
      </w:r>
      <w:r>
        <w:rPr>
          <w:rFonts w:hint="eastAsia" w:ascii="ＭＳ 明朝" w:hAnsi="ＭＳ 明朝" w:eastAsia="ＭＳ 明朝"/>
        </w:rPr>
        <w:t>37</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"_Toc503474070"</w:instrText>
      </w:r>
      <w:r>
        <w:rPr>
          <w:rFonts w:hint="eastAsia"/>
        </w:rPr>
        <w:fldChar w:fldCharType="separate"/>
      </w:r>
      <w:r>
        <w:rPr>
          <w:rFonts w:hint="eastAsia" w:ascii="ＭＳ 明朝" w:hAnsi="ＭＳ 明朝" w:eastAsia="ＭＳ 明朝"/>
        </w:rPr>
        <w:t>２　暮らしを支える福祉サービスの充実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39</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"_Toc503474071"</w:instrText>
      </w:r>
      <w:r>
        <w:rPr>
          <w:rFonts w:hint="eastAsia"/>
        </w:rPr>
        <w:fldChar w:fldCharType="separate"/>
      </w:r>
      <w:r>
        <w:rPr>
          <w:rFonts w:hint="eastAsia" w:ascii="ＭＳ 明朝" w:hAnsi="ＭＳ 明朝" w:eastAsia="ＭＳ 明朝"/>
        </w:rPr>
        <w:t>（１）地域での支え合い活動の推進</w:t>
      </w:r>
      <w:r>
        <w:rPr>
          <w:rFonts w:hint="eastAsia" w:ascii="ＭＳ 明朝" w:hAnsi="ＭＳ 明朝" w:eastAsia="ＭＳ 明朝"/>
        </w:rPr>
        <w:tab/>
      </w:r>
      <w:r>
        <w:rPr>
          <w:rFonts w:hint="eastAsia"/>
        </w:rPr>
        <w:fldChar w:fldCharType="end"/>
      </w:r>
      <w:r>
        <w:rPr>
          <w:rFonts w:hint="eastAsia" w:ascii="ＭＳ 明朝" w:hAnsi="ＭＳ 明朝" w:eastAsia="ＭＳ 明朝"/>
        </w:rPr>
        <w:t>39</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"_Toc503474072"</w:instrText>
      </w:r>
      <w:r>
        <w:rPr>
          <w:rFonts w:hint="eastAsia"/>
        </w:rPr>
        <w:fldChar w:fldCharType="separate"/>
      </w:r>
      <w:r>
        <w:rPr>
          <w:rFonts w:hint="eastAsia" w:ascii="ＭＳ 明朝" w:hAnsi="ＭＳ 明朝" w:eastAsia="ＭＳ 明朝"/>
        </w:rPr>
        <w:t>（２）介護保険制度との連携</w:t>
      </w:r>
      <w:r>
        <w:rPr>
          <w:rFonts w:hint="eastAsia" w:ascii="ＭＳ 明朝" w:hAnsi="ＭＳ 明朝" w:eastAsia="ＭＳ 明朝"/>
        </w:rPr>
        <w:tab/>
      </w:r>
      <w:r>
        <w:rPr>
          <w:rFonts w:hint="eastAsia"/>
        </w:rPr>
        <w:fldChar w:fldCharType="end"/>
      </w:r>
      <w:r>
        <w:rPr>
          <w:rFonts w:hint="eastAsia" w:ascii="ＭＳ 明朝" w:hAnsi="ＭＳ 明朝" w:eastAsia="ＭＳ 明朝"/>
        </w:rPr>
        <w:t>40</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"_Toc503474073"</w:instrText>
      </w:r>
      <w:r>
        <w:rPr>
          <w:rFonts w:hint="eastAsia"/>
        </w:rPr>
        <w:fldChar w:fldCharType="separate"/>
      </w:r>
      <w:r>
        <w:rPr>
          <w:rFonts w:hint="eastAsia" w:ascii="ＭＳ 明朝" w:hAnsi="ＭＳ 明朝" w:eastAsia="ＭＳ 明朝"/>
        </w:rPr>
        <w:t>（３）福祉人材の養成・確保</w:t>
      </w:r>
      <w:r>
        <w:rPr>
          <w:rFonts w:hint="eastAsia" w:ascii="ＭＳ 明朝" w:hAnsi="ＭＳ 明朝" w:eastAsia="ＭＳ 明朝"/>
        </w:rPr>
        <w:tab/>
      </w:r>
      <w:r>
        <w:rPr>
          <w:rFonts w:hint="eastAsia"/>
        </w:rPr>
        <w:fldChar w:fldCharType="end"/>
      </w:r>
      <w:r>
        <w:rPr>
          <w:rFonts w:hint="eastAsia" w:ascii="ＭＳ 明朝" w:hAnsi="ＭＳ 明朝" w:eastAsia="ＭＳ 明朝"/>
        </w:rPr>
        <w:t>41</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"_Toc503474074"</w:instrText>
      </w:r>
      <w:r>
        <w:rPr>
          <w:rFonts w:hint="eastAsia"/>
        </w:rPr>
        <w:fldChar w:fldCharType="separate"/>
      </w:r>
      <w:r>
        <w:rPr>
          <w:rFonts w:hint="eastAsia" w:ascii="ＭＳ 明朝" w:hAnsi="ＭＳ 明朝" w:eastAsia="ＭＳ 明朝"/>
        </w:rPr>
        <w:t>（４）適切なサービスの確保</w:t>
      </w:r>
      <w:r>
        <w:rPr>
          <w:rFonts w:hint="eastAsia" w:ascii="ＭＳ 明朝" w:hAnsi="ＭＳ 明朝" w:eastAsia="ＭＳ 明朝"/>
        </w:rPr>
        <w:tab/>
      </w:r>
      <w:r>
        <w:rPr>
          <w:rFonts w:hint="eastAsia"/>
        </w:rPr>
        <w:fldChar w:fldCharType="end"/>
      </w:r>
      <w:r>
        <w:rPr>
          <w:rFonts w:hint="eastAsia" w:ascii="ＭＳ 明朝" w:hAnsi="ＭＳ 明朝" w:eastAsia="ＭＳ 明朝"/>
        </w:rPr>
        <w:t>42</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"_Toc503474075"</w:instrText>
      </w:r>
      <w:r>
        <w:rPr>
          <w:rFonts w:hint="eastAsia"/>
        </w:rPr>
        <w:fldChar w:fldCharType="separate"/>
      </w:r>
      <w:r>
        <w:rPr>
          <w:rFonts w:hint="eastAsia" w:ascii="ＭＳ 明朝" w:hAnsi="ＭＳ 明朝" w:eastAsia="ＭＳ 明朝"/>
        </w:rPr>
        <w:t>（５）施設サービスの充実</w:t>
      </w:r>
      <w:r>
        <w:rPr>
          <w:rFonts w:hint="eastAsia" w:ascii="ＭＳ 明朝" w:hAnsi="ＭＳ 明朝" w:eastAsia="ＭＳ 明朝"/>
        </w:rPr>
        <w:tab/>
      </w:r>
      <w:r>
        <w:rPr>
          <w:rFonts w:hint="eastAsia" w:ascii="ＭＳ 明朝" w:hAnsi="ＭＳ 明朝" w:eastAsia="ＭＳ 明朝"/>
        </w:rPr>
        <w:t>4</w:t>
      </w:r>
      <w:r>
        <w:rPr>
          <w:rFonts w:hint="eastAsia"/>
        </w:rPr>
        <w:fldChar w:fldCharType="end"/>
      </w:r>
      <w:r>
        <w:rPr>
          <w:rFonts w:hint="eastAsia" w:ascii="ＭＳ 明朝" w:hAnsi="ＭＳ 明朝" w:eastAsia="ＭＳ 明朝"/>
        </w:rPr>
        <w:t>4</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"_Toc503474076"</w:instrText>
      </w:r>
      <w:r>
        <w:rPr>
          <w:rFonts w:hint="eastAsia"/>
        </w:rPr>
        <w:fldChar w:fldCharType="separate"/>
      </w:r>
      <w:r>
        <w:rPr>
          <w:rFonts w:hint="eastAsia" w:ascii="ＭＳ 明朝" w:hAnsi="ＭＳ 明朝" w:eastAsia="ＭＳ 明朝"/>
        </w:rPr>
        <w:t>（６）福祉用具・身体障害者補助犬の普及・拡充</w:t>
      </w:r>
      <w:r>
        <w:rPr>
          <w:rFonts w:hint="eastAsia" w:ascii="ＭＳ 明朝" w:hAnsi="ＭＳ 明朝" w:eastAsia="ＭＳ 明朝"/>
        </w:rPr>
        <w:tab/>
      </w:r>
      <w:r>
        <w:rPr>
          <w:rFonts w:hint="eastAsia"/>
        </w:rPr>
        <w:fldChar w:fldCharType="end"/>
      </w:r>
      <w:r>
        <w:rPr>
          <w:rFonts w:hint="eastAsia" w:ascii="ＭＳ 明朝" w:hAnsi="ＭＳ 明朝" w:eastAsia="ＭＳ 明朝"/>
        </w:rPr>
        <w:t>45</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"_Toc503474077"</w:instrText>
      </w:r>
      <w:r>
        <w:rPr>
          <w:rFonts w:hint="eastAsia"/>
        </w:rPr>
        <w:fldChar w:fldCharType="separate"/>
      </w:r>
      <w:r>
        <w:rPr>
          <w:rFonts w:hint="eastAsia" w:ascii="ＭＳ 明朝" w:hAnsi="ＭＳ 明朝" w:eastAsia="ＭＳ 明朝"/>
        </w:rPr>
        <w:t>（７）経済的支援制度の充実と普及・啓発</w:t>
      </w:r>
      <w:r>
        <w:rPr>
          <w:rFonts w:hint="eastAsia" w:ascii="ＭＳ 明朝" w:hAnsi="ＭＳ 明朝" w:eastAsia="ＭＳ 明朝"/>
        </w:rPr>
        <w:tab/>
      </w:r>
      <w:r>
        <w:rPr>
          <w:rFonts w:hint="eastAsia"/>
        </w:rPr>
        <w:fldChar w:fldCharType="end"/>
      </w:r>
      <w:r>
        <w:rPr>
          <w:rFonts w:hint="eastAsia" w:ascii="ＭＳ 明朝" w:hAnsi="ＭＳ 明朝" w:eastAsia="ＭＳ 明朝"/>
        </w:rPr>
        <w:t>46</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"_Toc503474078"</w:instrText>
      </w:r>
      <w:r>
        <w:rPr>
          <w:rFonts w:hint="eastAsia"/>
        </w:rPr>
        <w:fldChar w:fldCharType="separate"/>
      </w:r>
      <w:r>
        <w:rPr>
          <w:rFonts w:hint="eastAsia" w:ascii="ＭＳ 明朝" w:hAnsi="ＭＳ 明朝" w:eastAsia="ＭＳ 明朝"/>
        </w:rPr>
        <w:t>３　施設や病院から地域生活への移行の促進</w:t>
      </w:r>
      <w:r>
        <w:rPr>
          <w:rFonts w:hint="eastAsia" w:ascii="ＭＳ 明朝" w:hAnsi="ＭＳ 明朝" w:eastAsia="ＭＳ 明朝"/>
        </w:rPr>
        <w:tab/>
      </w:r>
      <w:r>
        <w:rPr>
          <w:rFonts w:hint="eastAsia"/>
        </w:rPr>
        <w:fldChar w:fldCharType="end"/>
      </w:r>
      <w:r>
        <w:rPr>
          <w:rFonts w:hint="eastAsia" w:ascii="ＭＳ 明朝" w:hAnsi="ＭＳ 明朝" w:eastAsia="ＭＳ 明朝"/>
        </w:rPr>
        <w:t>48</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"_Toc503474079"</w:instrText>
      </w:r>
      <w:r>
        <w:rPr>
          <w:rFonts w:hint="eastAsia"/>
        </w:rPr>
        <w:fldChar w:fldCharType="separate"/>
      </w:r>
      <w:r>
        <w:rPr>
          <w:rFonts w:hint="eastAsia" w:ascii="ＭＳ 明朝" w:hAnsi="ＭＳ 明朝" w:eastAsia="ＭＳ 明朝"/>
        </w:rPr>
        <w:t>（１）訪問系・日中活動系サービスの充実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48</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"_Toc503474080"</w:instrText>
      </w:r>
      <w:r>
        <w:rPr>
          <w:rFonts w:hint="eastAsia"/>
        </w:rPr>
        <w:fldChar w:fldCharType="separate"/>
      </w:r>
      <w:r>
        <w:rPr>
          <w:rFonts w:hint="eastAsia" w:ascii="ＭＳ 明朝" w:hAnsi="ＭＳ 明朝" w:eastAsia="ＭＳ 明朝"/>
        </w:rPr>
        <w:t>（２）居住の場の充実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49</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"_Toc503474081"</w:instrText>
      </w:r>
      <w:r>
        <w:rPr>
          <w:rFonts w:hint="eastAsia"/>
        </w:rPr>
        <w:fldChar w:fldCharType="separate"/>
      </w:r>
      <w:r>
        <w:rPr>
          <w:rFonts w:hint="eastAsia" w:ascii="ＭＳ 明朝" w:hAnsi="ＭＳ 明朝" w:eastAsia="ＭＳ 明朝"/>
        </w:rPr>
        <w:t>（３）精神障害のある人の地域移行の促進</w:t>
      </w:r>
      <w:r>
        <w:rPr>
          <w:rFonts w:hint="eastAsia" w:ascii="ＭＳ 明朝" w:hAnsi="ＭＳ 明朝" w:eastAsia="ＭＳ 明朝"/>
        </w:rPr>
        <w:tab/>
      </w:r>
      <w:r>
        <w:rPr>
          <w:rFonts w:hint="eastAsia"/>
        </w:rPr>
        <w:fldChar w:fldCharType="end"/>
      </w:r>
      <w:r>
        <w:rPr>
          <w:rFonts w:hint="eastAsia" w:ascii="ＭＳ 明朝" w:hAnsi="ＭＳ 明朝" w:eastAsia="ＭＳ 明朝"/>
        </w:rPr>
        <w:t>50</w:t>
      </w:r>
    </w:p>
    <w:p>
      <w:pPr>
        <w:pStyle w:val="31"/>
        <w:tabs>
          <w:tab w:val="right" w:leader="middleDot" w:pos="9741"/>
        </w:tabs>
        <w:rPr>
          <w:rFonts w:hint="eastAsia" w:ascii="ＭＳ 明朝" w:hAnsi="ＭＳ 明朝" w:eastAsia="ＭＳ 明朝"/>
          <w:sz w:val="21"/>
        </w:rPr>
      </w:pPr>
      <w:r>
        <w:rPr>
          <w:rFonts w:hint="eastAsia" w:ascii="ＭＳ 明朝" w:hAnsi="ＭＳ 明朝" w:eastAsia="ＭＳ 明朝"/>
        </w:rPr>
        <w:t>（４）矯正施設退所障害者に対する社会復帰支援の充実</w:t>
      </w:r>
      <w:r>
        <w:rPr>
          <w:rFonts w:hint="eastAsia"/>
        </w:rPr>
        <w:fldChar w:fldCharType="begin"/>
      </w:r>
      <w:r>
        <w:rPr>
          <w:rFonts w:hint="eastAsia"/>
        </w:rPr>
        <w:instrText xml:space="preserve"> HYPERLINK  \l "_Toc503474082"</w:instrText>
      </w:r>
      <w:r>
        <w:rPr>
          <w:rFonts w:hint="eastAsia"/>
        </w:rPr>
        <w:fldChar w:fldCharType="separate"/>
      </w:r>
      <w:r>
        <w:rPr>
          <w:rFonts w:hint="eastAsia" w:ascii="ＭＳ 明朝" w:hAnsi="ＭＳ 明朝" w:eastAsia="ＭＳ 明朝"/>
        </w:rPr>
        <w:tab/>
      </w:r>
      <w:r>
        <w:rPr>
          <w:rFonts w:hint="eastAsia"/>
        </w:rPr>
        <w:fldChar w:fldCharType="end"/>
      </w:r>
      <w:r>
        <w:rPr>
          <w:rFonts w:hint="eastAsia" w:ascii="ＭＳ 明朝" w:hAnsi="ＭＳ 明朝" w:eastAsia="ＭＳ 明朝"/>
        </w:rPr>
        <w:t>51</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"_Toc503474085"</w:instrText>
      </w:r>
      <w:r>
        <w:rPr>
          <w:rFonts w:hint="eastAsia"/>
        </w:rPr>
        <w:fldChar w:fldCharType="separate"/>
      </w:r>
      <w:r>
        <w:rPr>
          <w:rFonts w:hint="eastAsia" w:ascii="ＭＳ 明朝" w:hAnsi="ＭＳ 明朝" w:eastAsia="ＭＳ 明朝"/>
        </w:rPr>
        <w:t>４　一人ひとりの特性に応じた就労の促進</w:t>
      </w:r>
      <w:r>
        <w:rPr>
          <w:rFonts w:hint="eastAsia" w:ascii="ＭＳ 明朝" w:hAnsi="ＭＳ 明朝" w:eastAsia="ＭＳ 明朝"/>
        </w:rPr>
        <w:tab/>
      </w:r>
      <w:r>
        <w:rPr>
          <w:rFonts w:hint="eastAsia"/>
        </w:rPr>
        <w:fldChar w:fldCharType="end"/>
      </w:r>
      <w:r>
        <w:rPr>
          <w:rFonts w:hint="eastAsia" w:ascii="ＭＳ 明朝" w:hAnsi="ＭＳ 明朝" w:eastAsia="ＭＳ 明朝"/>
        </w:rPr>
        <w:t>52</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"_Toc503474086"</w:instrText>
      </w:r>
      <w:r>
        <w:rPr>
          <w:rFonts w:hint="eastAsia"/>
        </w:rPr>
        <w:fldChar w:fldCharType="separate"/>
      </w:r>
      <w:r>
        <w:rPr>
          <w:rFonts w:hint="eastAsia" w:ascii="ＭＳ 明朝" w:hAnsi="ＭＳ 明朝" w:eastAsia="ＭＳ 明朝"/>
        </w:rPr>
        <w:t>（１）一般就労への支援</w:t>
      </w:r>
      <w:r>
        <w:rPr>
          <w:rFonts w:hint="eastAsia" w:ascii="ＭＳ 明朝" w:hAnsi="ＭＳ 明朝" w:eastAsia="ＭＳ 明朝"/>
        </w:rPr>
        <w:tab/>
      </w:r>
      <w:r>
        <w:rPr>
          <w:rFonts w:hint="eastAsia"/>
        </w:rPr>
        <w:fldChar w:fldCharType="end"/>
      </w:r>
      <w:r>
        <w:rPr>
          <w:rFonts w:hint="eastAsia" w:ascii="ＭＳ 明朝" w:hAnsi="ＭＳ 明朝" w:eastAsia="ＭＳ 明朝"/>
        </w:rPr>
        <w:t>52</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"_Toc503474087"</w:instrText>
      </w:r>
      <w:r>
        <w:rPr>
          <w:rFonts w:hint="eastAsia"/>
        </w:rPr>
        <w:fldChar w:fldCharType="separate"/>
      </w:r>
      <w:r>
        <w:rPr>
          <w:rFonts w:hint="eastAsia" w:ascii="ＭＳ 明朝" w:hAnsi="ＭＳ 明朝" w:eastAsia="ＭＳ 明朝"/>
        </w:rPr>
        <w:t>（２）障害のある人の雇用の推進</w:t>
      </w:r>
      <w:r>
        <w:rPr>
          <w:rFonts w:hint="eastAsia" w:ascii="ＭＳ 明朝" w:hAnsi="ＭＳ 明朝" w:eastAsia="ＭＳ 明朝"/>
        </w:rPr>
        <w:tab/>
      </w:r>
      <w:r>
        <w:rPr>
          <w:rFonts w:hint="eastAsia"/>
        </w:rPr>
        <w:fldChar w:fldCharType="end"/>
      </w:r>
      <w:r>
        <w:rPr>
          <w:rFonts w:hint="eastAsia" w:ascii="ＭＳ 明朝" w:hAnsi="ＭＳ 明朝" w:eastAsia="ＭＳ 明朝"/>
        </w:rPr>
        <w:t>53</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"_Toc503474088"</w:instrText>
      </w:r>
      <w:r>
        <w:rPr>
          <w:rFonts w:hint="eastAsia"/>
        </w:rPr>
        <w:fldChar w:fldCharType="separate"/>
      </w:r>
      <w:r>
        <w:rPr>
          <w:rFonts w:hint="eastAsia" w:ascii="ＭＳ 明朝" w:hAnsi="ＭＳ 明朝" w:eastAsia="ＭＳ 明朝"/>
        </w:rPr>
        <w:t>（３）職場定着の支援</w:t>
      </w:r>
      <w:r>
        <w:rPr>
          <w:rFonts w:hint="eastAsia" w:ascii="ＭＳ 明朝" w:hAnsi="ＭＳ 明朝" w:eastAsia="ＭＳ 明朝"/>
        </w:rPr>
        <w:tab/>
      </w:r>
      <w:r>
        <w:rPr>
          <w:rFonts w:hint="eastAsia"/>
        </w:rPr>
        <w:fldChar w:fldCharType="end"/>
      </w:r>
      <w:r>
        <w:rPr>
          <w:rFonts w:hint="eastAsia" w:ascii="ＭＳ 明朝" w:hAnsi="ＭＳ 明朝" w:eastAsia="ＭＳ 明朝"/>
        </w:rPr>
        <w:t>54</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"_Toc503474089"</w:instrText>
      </w:r>
      <w:r>
        <w:rPr>
          <w:rFonts w:hint="eastAsia"/>
        </w:rPr>
        <w:fldChar w:fldCharType="separate"/>
      </w:r>
      <w:r>
        <w:rPr>
          <w:rFonts w:hint="eastAsia" w:ascii="ＭＳ 明朝" w:hAnsi="ＭＳ 明朝" w:eastAsia="ＭＳ 明朝"/>
        </w:rPr>
        <w:t>（４）福祉的就労への支援</w:t>
      </w:r>
      <w:r>
        <w:rPr>
          <w:rFonts w:hint="eastAsia" w:ascii="ＭＳ 明朝" w:hAnsi="ＭＳ 明朝" w:eastAsia="ＭＳ 明朝"/>
        </w:rPr>
        <w:tab/>
      </w:r>
      <w:r>
        <w:rPr>
          <w:rFonts w:hint="eastAsia" w:ascii="ＭＳ 明朝" w:hAnsi="ＭＳ 明朝" w:eastAsia="ＭＳ 明朝"/>
        </w:rPr>
        <w:t>5</w:t>
      </w:r>
      <w:r>
        <w:rPr>
          <w:rFonts w:hint="eastAsia"/>
        </w:rPr>
        <w:fldChar w:fldCharType="end"/>
      </w:r>
      <w:r>
        <w:rPr>
          <w:rFonts w:hint="eastAsia" w:ascii="ＭＳ 明朝" w:hAnsi="ＭＳ 明朝" w:eastAsia="ＭＳ 明朝"/>
        </w:rPr>
        <w:t>5</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"_Toc503474090"</w:instrText>
      </w:r>
      <w:r>
        <w:rPr>
          <w:rFonts w:hint="eastAsia"/>
        </w:rPr>
        <w:fldChar w:fldCharType="separate"/>
      </w:r>
      <w:r>
        <w:rPr>
          <w:rFonts w:hint="eastAsia" w:ascii="ＭＳ 明朝" w:hAnsi="ＭＳ 明朝" w:eastAsia="ＭＳ 明朝"/>
        </w:rPr>
        <w:t>（５）物品及び役務サービスの優先調達の推進</w:t>
      </w:r>
      <w:r>
        <w:rPr>
          <w:rFonts w:hint="eastAsia" w:ascii="ＭＳ 明朝" w:hAnsi="ＭＳ 明朝" w:eastAsia="ＭＳ 明朝"/>
        </w:rPr>
        <w:tab/>
      </w:r>
      <w:r>
        <w:rPr>
          <w:rFonts w:hint="eastAsia" w:ascii="ＭＳ 明朝" w:hAnsi="ＭＳ 明朝" w:eastAsia="ＭＳ 明朝"/>
        </w:rPr>
        <w:t>5</w:t>
      </w:r>
      <w:r>
        <w:rPr>
          <w:rFonts w:hint="eastAsia"/>
        </w:rPr>
        <w:fldChar w:fldCharType="end"/>
      </w:r>
      <w:r>
        <w:rPr>
          <w:rFonts w:hint="eastAsia" w:ascii="ＭＳ 明朝" w:hAnsi="ＭＳ 明朝" w:eastAsia="ＭＳ 明朝"/>
        </w:rPr>
        <w:t>6</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"_Toc503474091"</w:instrText>
      </w:r>
      <w:r>
        <w:rPr>
          <w:rFonts w:hint="eastAsia"/>
        </w:rPr>
        <w:fldChar w:fldCharType="separate"/>
      </w:r>
      <w:r>
        <w:rPr>
          <w:rFonts w:hint="eastAsia" w:ascii="ＭＳ 明朝" w:hAnsi="ＭＳ 明朝" w:eastAsia="ＭＳ 明朝"/>
        </w:rPr>
        <w:t>５　地域での保健・医療体制の充実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58</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"_Toc503474092"</w:instrText>
      </w:r>
      <w:r>
        <w:rPr>
          <w:rFonts w:hint="eastAsia"/>
        </w:rPr>
        <w:fldChar w:fldCharType="separate"/>
      </w:r>
      <w:r>
        <w:rPr>
          <w:rFonts w:hint="eastAsia" w:ascii="ＭＳ 明朝" w:hAnsi="ＭＳ 明朝" w:eastAsia="ＭＳ 明朝"/>
        </w:rPr>
        <w:t>（１）健康づくりの推進</w:t>
      </w:r>
      <w:r>
        <w:rPr>
          <w:rFonts w:hint="eastAsia" w:ascii="ＭＳ 明朝" w:hAnsi="ＭＳ 明朝" w:eastAsia="ＭＳ 明朝"/>
        </w:rPr>
        <w:tab/>
      </w:r>
      <w:r>
        <w:rPr>
          <w:rFonts w:hint="eastAsia"/>
        </w:rPr>
        <w:fldChar w:fldCharType="end"/>
      </w:r>
      <w:r>
        <w:rPr>
          <w:rFonts w:hint="eastAsia" w:ascii="ＭＳ 明朝" w:hAnsi="ＭＳ 明朝" w:eastAsia="ＭＳ 明朝"/>
        </w:rPr>
        <w:t>58</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"_Toc503474093"</w:instrText>
      </w:r>
      <w:r>
        <w:rPr>
          <w:rFonts w:hint="eastAsia"/>
        </w:rPr>
        <w:fldChar w:fldCharType="separate"/>
      </w:r>
      <w:r>
        <w:rPr>
          <w:rFonts w:hint="eastAsia" w:ascii="ＭＳ 明朝" w:hAnsi="ＭＳ 明朝" w:eastAsia="ＭＳ 明朝"/>
        </w:rPr>
        <w:t>（２）自殺総合対策の推進</w:t>
      </w:r>
      <w:r>
        <w:rPr>
          <w:rFonts w:hint="eastAsia" w:ascii="ＭＳ 明朝" w:hAnsi="ＭＳ 明朝" w:eastAsia="ＭＳ 明朝"/>
        </w:rPr>
        <w:tab/>
      </w:r>
      <w:r>
        <w:rPr>
          <w:rFonts w:hint="eastAsia"/>
        </w:rPr>
        <w:fldChar w:fldCharType="end"/>
      </w:r>
      <w:r>
        <w:rPr>
          <w:rFonts w:hint="eastAsia" w:ascii="ＭＳ 明朝" w:hAnsi="ＭＳ 明朝" w:eastAsia="ＭＳ 明朝"/>
        </w:rPr>
        <w:t>59</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"_Toc503474094"</w:instrText>
      </w:r>
      <w:r>
        <w:rPr>
          <w:rFonts w:hint="eastAsia"/>
        </w:rPr>
        <w:fldChar w:fldCharType="separate"/>
      </w:r>
      <w:r>
        <w:rPr>
          <w:rFonts w:hint="eastAsia" w:ascii="ＭＳ 明朝" w:hAnsi="ＭＳ 明朝" w:eastAsia="ＭＳ 明朝"/>
        </w:rPr>
        <w:t>（３）ひきこもりの状態にある人に対する支援の充実</w:t>
      </w:r>
      <w:r>
        <w:rPr>
          <w:rFonts w:hint="eastAsia" w:ascii="ＭＳ 明朝" w:hAnsi="ＭＳ 明朝" w:eastAsia="ＭＳ 明朝"/>
        </w:rPr>
        <w:tab/>
      </w:r>
      <w:r>
        <w:rPr>
          <w:rFonts w:hint="eastAsia" w:ascii="ＭＳ 明朝" w:hAnsi="ＭＳ 明朝" w:eastAsia="ＭＳ 明朝"/>
        </w:rPr>
        <w:t>6</w:t>
      </w:r>
      <w:r>
        <w:rPr>
          <w:rFonts w:hint="eastAsia"/>
        </w:rPr>
        <w:fldChar w:fldCharType="end"/>
      </w:r>
      <w:r>
        <w:rPr>
          <w:rFonts w:hint="eastAsia" w:ascii="ＭＳ 明朝" w:hAnsi="ＭＳ 明朝" w:eastAsia="ＭＳ 明朝"/>
        </w:rPr>
        <w:t>0</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"_Toc503474095"</w:instrText>
      </w:r>
      <w:r>
        <w:rPr>
          <w:rFonts w:hint="eastAsia"/>
        </w:rPr>
        <w:fldChar w:fldCharType="separate"/>
      </w:r>
      <w:r>
        <w:rPr>
          <w:rFonts w:hint="eastAsia" w:ascii="ＭＳ 明朝" w:hAnsi="ＭＳ 明朝" w:eastAsia="ＭＳ 明朝"/>
        </w:rPr>
        <w:t>（４）地域リハビリテーション体制の充実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61</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"_Toc503474096"</w:instrText>
      </w:r>
      <w:r>
        <w:rPr>
          <w:rFonts w:hint="eastAsia"/>
        </w:rPr>
        <w:fldChar w:fldCharType="separate"/>
      </w:r>
      <w:r>
        <w:rPr>
          <w:rFonts w:hint="eastAsia" w:ascii="ＭＳ 明朝" w:hAnsi="ＭＳ 明朝" w:eastAsia="ＭＳ 明朝"/>
        </w:rPr>
        <w:t>（５）質の高い医療及び歯科医療の提供</w:t>
      </w:r>
      <w:r>
        <w:rPr>
          <w:rFonts w:hint="eastAsia" w:ascii="ＭＳ 明朝" w:hAnsi="ＭＳ 明朝" w:eastAsia="ＭＳ 明朝"/>
        </w:rPr>
        <w:tab/>
      </w:r>
      <w:r>
        <w:rPr>
          <w:rFonts w:hint="eastAsia"/>
        </w:rPr>
        <w:fldChar w:fldCharType="end"/>
      </w:r>
      <w:r>
        <w:rPr>
          <w:rFonts w:hint="eastAsia" w:ascii="ＭＳ 明朝" w:hAnsi="ＭＳ 明朝" w:eastAsia="ＭＳ 明朝"/>
        </w:rPr>
        <w:t>61</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"_Toc503474097"</w:instrText>
      </w:r>
      <w:r>
        <w:rPr>
          <w:rFonts w:hint="eastAsia"/>
        </w:rPr>
        <w:fldChar w:fldCharType="separate"/>
      </w:r>
      <w:r>
        <w:rPr>
          <w:rFonts w:hint="eastAsia" w:ascii="ＭＳ 明朝" w:hAnsi="ＭＳ 明朝" w:eastAsia="ＭＳ 明朝"/>
        </w:rPr>
        <w:t>６　施設の防災、防犯、感染症対策の推進</w:t>
      </w:r>
      <w:r>
        <w:rPr>
          <w:rFonts w:hint="eastAsia" w:ascii="ＭＳ 明朝" w:hAnsi="ＭＳ 明朝" w:eastAsia="ＭＳ 明朝"/>
        </w:rPr>
        <w:tab/>
      </w:r>
      <w:r>
        <w:rPr>
          <w:rFonts w:hint="eastAsia"/>
        </w:rPr>
        <w:fldChar w:fldCharType="end"/>
      </w:r>
      <w:r>
        <w:rPr>
          <w:rFonts w:hint="eastAsia" w:ascii="ＭＳ 明朝" w:hAnsi="ＭＳ 明朝" w:eastAsia="ＭＳ 明朝"/>
        </w:rPr>
        <w:t>63</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"_Toc503474098"</w:instrText>
      </w:r>
      <w:r>
        <w:rPr>
          <w:rFonts w:hint="eastAsia"/>
        </w:rPr>
        <w:fldChar w:fldCharType="separate"/>
      </w:r>
      <w:r>
        <w:rPr>
          <w:rFonts w:hint="eastAsia" w:ascii="ＭＳ 明朝" w:hAnsi="ＭＳ 明朝" w:eastAsia="ＭＳ 明朝"/>
        </w:rPr>
        <w:t>（１）施設における防災体制・防犯対策の充実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63</w:t>
      </w:r>
    </w:p>
    <w:p>
      <w:pPr>
        <w:pStyle w:val="28"/>
        <w:tabs>
          <w:tab w:val="right" w:leader="middleDot" w:pos="9741"/>
        </w:tabs>
        <w:ind w:left="274" w:leftChars="114"/>
        <w:rPr>
          <w:rFonts w:hint="eastAsia" w:ascii="ＭＳ 明朝" w:hAnsi="ＭＳ 明朝" w:eastAsia="ＭＳ 明朝"/>
          <w:sz w:val="21"/>
        </w:rPr>
      </w:pPr>
      <w:r>
        <w:rPr>
          <w:rFonts w:hint="eastAsia" w:ascii="ＭＳ 明朝" w:hAnsi="ＭＳ 明朝" w:eastAsia="ＭＳ 明朝"/>
          <w:sz w:val="21"/>
        </w:rPr>
        <w:t>　</w:t>
      </w:r>
      <w:r>
        <w:rPr>
          <w:rFonts w:hint="eastAsia"/>
        </w:rPr>
        <w:fldChar w:fldCharType="begin"/>
      </w:r>
      <w:r>
        <w:rPr>
          <w:rFonts w:hint="eastAsia"/>
        </w:rPr>
        <w:instrText xml:space="preserve"> HYPERLINK  \l "_Toc503474098"</w:instrText>
      </w:r>
      <w:r>
        <w:rPr>
          <w:rFonts w:hint="eastAsia"/>
        </w:rPr>
        <w:fldChar w:fldCharType="separate"/>
      </w:r>
      <w:r>
        <w:rPr>
          <w:rFonts w:hint="eastAsia" w:ascii="ＭＳ 明朝" w:hAnsi="ＭＳ 明朝" w:eastAsia="ＭＳ 明朝"/>
        </w:rPr>
        <w:t>（２）施設における感染症対策の充実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64</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"_Toc503474099"</w:instrText>
      </w:r>
      <w:r>
        <w:rPr>
          <w:rFonts w:hint="eastAsia"/>
        </w:rPr>
        <w:fldChar w:fldCharType="separate"/>
      </w:r>
      <w:r>
        <w:rPr>
          <w:rFonts w:hint="eastAsia" w:ascii="ＭＳ 明朝" w:hAnsi="ＭＳ 明朝" w:eastAsia="ＭＳ 明朝"/>
        </w:rPr>
        <w:t>７　安心して暮らせるまちづくり</w:t>
      </w:r>
      <w:r>
        <w:rPr>
          <w:rFonts w:hint="eastAsia" w:ascii="ＭＳ 明朝" w:hAnsi="ＭＳ 明朝" w:eastAsia="ＭＳ 明朝"/>
        </w:rPr>
        <w:tab/>
      </w:r>
      <w:r>
        <w:rPr>
          <w:rFonts w:hint="eastAsia" w:ascii="ＭＳ 明朝" w:hAnsi="ＭＳ 明朝" w:eastAsia="ＭＳ 明朝"/>
        </w:rPr>
        <w:t>65</w:t>
      </w:r>
      <w:r>
        <w:rPr>
          <w:rFonts w:hint="eastAsia"/>
        </w:rPr>
        <w:fldChar w:fldCharType="end"/>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"_Toc503474100"</w:instrText>
      </w:r>
      <w:r>
        <w:rPr>
          <w:rFonts w:hint="eastAsia"/>
        </w:rPr>
        <w:fldChar w:fldCharType="separate"/>
      </w:r>
      <w:r>
        <w:rPr>
          <w:rFonts w:hint="eastAsia" w:ascii="ＭＳ 明朝" w:hAnsi="ＭＳ 明朝" w:eastAsia="ＭＳ 明朝"/>
        </w:rPr>
        <w:t>（１）ユニバーサルデザインに基づくまちづくりの整備促進</w:t>
      </w:r>
      <w:r>
        <w:rPr>
          <w:rFonts w:hint="eastAsia" w:ascii="ＭＳ 明朝" w:hAnsi="ＭＳ 明朝" w:eastAsia="ＭＳ 明朝"/>
        </w:rPr>
        <w:tab/>
      </w:r>
      <w:r>
        <w:rPr>
          <w:rFonts w:hint="eastAsia" w:ascii="ＭＳ 明朝" w:hAnsi="ＭＳ 明朝" w:eastAsia="ＭＳ 明朝"/>
        </w:rPr>
        <w:t>6</w:t>
      </w:r>
      <w:r>
        <w:rPr>
          <w:rFonts w:hint="eastAsia"/>
        </w:rPr>
        <w:fldChar w:fldCharType="end"/>
      </w:r>
      <w:r>
        <w:rPr>
          <w:rFonts w:hint="eastAsia" w:ascii="ＭＳ 明朝" w:hAnsi="ＭＳ 明朝" w:eastAsia="ＭＳ 明朝"/>
        </w:rPr>
        <w:t>5</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"_Toc503474101"</w:instrText>
      </w:r>
      <w:r>
        <w:rPr>
          <w:rFonts w:hint="eastAsia"/>
        </w:rPr>
        <w:fldChar w:fldCharType="separate"/>
      </w:r>
      <w:r>
        <w:rPr>
          <w:rFonts w:hint="eastAsia" w:ascii="ＭＳ 明朝" w:hAnsi="ＭＳ 明朝" w:eastAsia="ＭＳ 明朝"/>
        </w:rPr>
        <w:t>（２）誰もが住みやすい住宅整備の促進</w:t>
      </w:r>
      <w:r>
        <w:rPr>
          <w:rFonts w:hint="eastAsia" w:ascii="ＭＳ 明朝" w:hAnsi="ＭＳ 明朝" w:eastAsia="ＭＳ 明朝"/>
        </w:rPr>
        <w:tab/>
      </w:r>
      <w:r>
        <w:rPr>
          <w:rFonts w:hint="eastAsia" w:ascii="ＭＳ 明朝" w:hAnsi="ＭＳ 明朝" w:eastAsia="ＭＳ 明朝"/>
        </w:rPr>
        <w:t>6</w:t>
      </w:r>
      <w:r>
        <w:rPr>
          <w:rFonts w:hint="eastAsia"/>
        </w:rPr>
        <w:fldChar w:fldCharType="end"/>
      </w:r>
      <w:r>
        <w:rPr>
          <w:rFonts w:hint="eastAsia" w:ascii="ＭＳ 明朝" w:hAnsi="ＭＳ 明朝" w:eastAsia="ＭＳ 明朝"/>
        </w:rPr>
        <w:t>7</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"_Toc503474102"</w:instrText>
      </w:r>
      <w:r>
        <w:rPr>
          <w:rFonts w:hint="eastAsia"/>
        </w:rPr>
        <w:fldChar w:fldCharType="separate"/>
      </w:r>
      <w:r>
        <w:rPr>
          <w:rFonts w:hint="eastAsia" w:ascii="ＭＳ 明朝" w:hAnsi="ＭＳ 明朝" w:eastAsia="ＭＳ 明朝"/>
        </w:rPr>
        <w:t>（３）地域における防災体制の充実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68</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"_Toc503474103"</w:instrText>
      </w:r>
      <w:r>
        <w:rPr>
          <w:rFonts w:hint="eastAsia"/>
        </w:rPr>
        <w:fldChar w:fldCharType="separate"/>
      </w:r>
      <w:r>
        <w:rPr>
          <w:rFonts w:hint="eastAsia" w:ascii="ＭＳ 明朝" w:hAnsi="ＭＳ 明朝" w:eastAsia="ＭＳ 明朝"/>
        </w:rPr>
        <w:t>（４）防犯対策の推進</w:t>
      </w:r>
      <w:r>
        <w:rPr>
          <w:rFonts w:hint="eastAsia" w:ascii="ＭＳ 明朝" w:hAnsi="ＭＳ 明朝" w:eastAsia="ＭＳ 明朝"/>
        </w:rPr>
        <w:tab/>
      </w:r>
      <w:r>
        <w:rPr>
          <w:rFonts w:hint="eastAsia"/>
        </w:rPr>
        <w:fldChar w:fldCharType="end"/>
      </w:r>
      <w:r>
        <w:rPr>
          <w:rFonts w:hint="eastAsia" w:ascii="ＭＳ 明朝" w:hAnsi="ＭＳ 明朝" w:eastAsia="ＭＳ 明朝"/>
        </w:rPr>
        <w:t>71</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"_Toc503474104"</w:instrText>
      </w:r>
      <w:r>
        <w:rPr>
          <w:rFonts w:hint="eastAsia"/>
        </w:rPr>
        <w:fldChar w:fldCharType="separate"/>
      </w:r>
      <w:r>
        <w:rPr>
          <w:rFonts w:hint="eastAsia" w:ascii="ＭＳ 明朝" w:hAnsi="ＭＳ 明朝" w:eastAsia="ＭＳ 明朝"/>
        </w:rPr>
        <w:t>（５）交通安全対策の推進</w:t>
      </w:r>
      <w:r>
        <w:rPr>
          <w:rFonts w:hint="eastAsia" w:ascii="ＭＳ 明朝" w:hAnsi="ＭＳ 明朝" w:eastAsia="ＭＳ 明朝"/>
        </w:rPr>
        <w:tab/>
      </w:r>
      <w:r>
        <w:rPr>
          <w:rFonts w:hint="eastAsia"/>
        </w:rPr>
        <w:fldChar w:fldCharType="end"/>
      </w:r>
      <w:r>
        <w:rPr>
          <w:rFonts w:hint="eastAsia" w:ascii="ＭＳ 明朝" w:hAnsi="ＭＳ 明朝" w:eastAsia="ＭＳ 明朝"/>
        </w:rPr>
        <w:t>72</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"_Toc503474105"</w:instrText>
      </w:r>
      <w:r>
        <w:rPr>
          <w:rFonts w:hint="eastAsia"/>
        </w:rPr>
        <w:fldChar w:fldCharType="separate"/>
      </w:r>
      <w:r>
        <w:rPr>
          <w:rFonts w:hint="eastAsia" w:ascii="ＭＳ 明朝" w:hAnsi="ＭＳ 明朝" w:eastAsia="ＭＳ 明朝"/>
        </w:rPr>
        <w:t>（６）消費者としての利益の擁護及び増進</w:t>
      </w:r>
      <w:r>
        <w:rPr>
          <w:rFonts w:hint="eastAsia" w:ascii="ＭＳ 明朝" w:hAnsi="ＭＳ 明朝" w:eastAsia="ＭＳ 明朝"/>
        </w:rPr>
        <w:tab/>
      </w:r>
      <w:r>
        <w:rPr>
          <w:rFonts w:hint="eastAsia" w:ascii="ＭＳ 明朝" w:hAnsi="ＭＳ 明朝" w:eastAsia="ＭＳ 明朝"/>
        </w:rPr>
        <w:t>7</w:t>
      </w:r>
      <w:r>
        <w:rPr>
          <w:rFonts w:hint="eastAsia"/>
        </w:rPr>
        <w:fldChar w:fldCharType="end"/>
      </w:r>
      <w:r>
        <w:rPr>
          <w:rFonts w:hint="eastAsia" w:ascii="ＭＳ 明朝" w:hAnsi="ＭＳ 明朝" w:eastAsia="ＭＳ 明朝"/>
        </w:rPr>
        <w:t>3</w:t>
      </w:r>
    </w:p>
    <w:p>
      <w:pPr>
        <w:pStyle w:val="0"/>
        <w:tabs>
          <w:tab w:val="right" w:leader="middleDot" w:pos="9741"/>
        </w:tabs>
        <w:rPr>
          <w:rFonts w:hint="default" w:ascii="Century" w:hAnsi="Century"/>
          <w:sz w:val="21"/>
        </w:rPr>
      </w:pPr>
    </w:p>
    <w:p>
      <w:pPr>
        <w:pStyle w:val="30"/>
        <w:tabs>
          <w:tab w:val="right" w:leader="middleDot" w:pos="9741"/>
        </w:tabs>
        <w:rPr>
          <w:rFonts w:hint="default" w:ascii="Century" w:hAnsi="Century" w:eastAsia="ＭＳ 明朝"/>
          <w:sz w:val="21"/>
        </w:rPr>
      </w:pPr>
      <w:r>
        <w:rPr>
          <w:rFonts w:hint="eastAsia"/>
        </w:rPr>
        <w:fldChar w:fldCharType="begin"/>
      </w:r>
      <w:r>
        <w:rPr>
          <w:rFonts w:hint="eastAsia"/>
        </w:rPr>
        <w:instrText xml:space="preserve"> HYPERLINK  \l "_Toc503474050"</w:instrText>
      </w:r>
      <w:r>
        <w:rPr>
          <w:rFonts w:hint="eastAsia"/>
        </w:rPr>
        <w:fldChar w:fldCharType="separate"/>
      </w:r>
      <w:r>
        <w:rPr>
          <w:rFonts w:hint="eastAsia" w:ascii="ＭＳ ゴシック" w:hAnsi="ＭＳ ゴシック"/>
          <w:b w:val="1"/>
          <w:spacing w:val="-4"/>
          <w:kern w:val="0"/>
        </w:rPr>
        <w:t>Ⅲ　多様な障害に応じたきめ細かな支援</w:t>
      </w:r>
      <w:r>
        <w:rPr>
          <w:rFonts w:hint="eastAsia"/>
        </w:rPr>
        <w:fldChar w:fldCharType="end"/>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"_Toc503474051"</w:instrText>
      </w:r>
      <w:r>
        <w:rPr>
          <w:rFonts w:hint="eastAsia"/>
        </w:rPr>
        <w:fldChar w:fldCharType="separate"/>
      </w:r>
      <w:r>
        <w:rPr>
          <w:rFonts w:hint="eastAsia" w:ascii="ＭＳ 明朝" w:hAnsi="ＭＳ 明朝" w:eastAsia="ＭＳ 明朝"/>
        </w:rPr>
        <w:t>１　早期支援体制の整備</w:t>
      </w:r>
      <w:r>
        <w:rPr>
          <w:rFonts w:hint="eastAsia" w:ascii="ＭＳ 明朝" w:hAnsi="ＭＳ 明朝" w:eastAsia="ＭＳ 明朝"/>
        </w:rPr>
        <w:tab/>
      </w:r>
      <w:r>
        <w:rPr>
          <w:rFonts w:hint="eastAsia"/>
        </w:rPr>
        <w:fldChar w:fldCharType="end"/>
      </w:r>
      <w:r>
        <w:rPr>
          <w:rFonts w:hint="eastAsia" w:ascii="ＭＳ 明朝" w:hAnsi="ＭＳ 明朝" w:eastAsia="ＭＳ 明朝"/>
        </w:rPr>
        <w:t>75</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"_Toc503474052"</w:instrText>
      </w:r>
      <w:r>
        <w:rPr>
          <w:rFonts w:hint="eastAsia"/>
        </w:rPr>
        <w:fldChar w:fldCharType="separate"/>
      </w:r>
      <w:r>
        <w:rPr>
          <w:rFonts w:hint="eastAsia" w:ascii="ＭＳ 明朝" w:hAnsi="ＭＳ 明朝" w:eastAsia="ＭＳ 明朝"/>
        </w:rPr>
        <w:t>（１）早期発見対策の充実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75</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"_Toc503474053"</w:instrText>
      </w:r>
      <w:r>
        <w:rPr>
          <w:rFonts w:hint="eastAsia"/>
        </w:rPr>
        <w:fldChar w:fldCharType="separate"/>
      </w:r>
      <w:r>
        <w:rPr>
          <w:rFonts w:hint="eastAsia" w:ascii="ＭＳ 明朝" w:hAnsi="ＭＳ 明朝" w:eastAsia="ＭＳ 明朝"/>
        </w:rPr>
        <w:t>（２）早期療育の充実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76</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"_Toc503474054"</w:instrText>
      </w:r>
      <w:r>
        <w:rPr>
          <w:rFonts w:hint="eastAsia"/>
        </w:rPr>
        <w:fldChar w:fldCharType="separate"/>
      </w:r>
      <w:r>
        <w:rPr>
          <w:rFonts w:hint="eastAsia" w:ascii="ＭＳ 明朝" w:hAnsi="ＭＳ 明朝" w:eastAsia="ＭＳ 明朝"/>
        </w:rPr>
        <w:t>２　教育の振興</w:t>
      </w:r>
      <w:r>
        <w:rPr>
          <w:rFonts w:hint="eastAsia" w:ascii="ＭＳ 明朝" w:hAnsi="ＭＳ 明朝" w:eastAsia="ＭＳ 明朝"/>
        </w:rPr>
        <w:tab/>
      </w:r>
      <w:r>
        <w:rPr>
          <w:rFonts w:hint="eastAsia"/>
        </w:rPr>
        <w:fldChar w:fldCharType="end"/>
      </w:r>
      <w:r>
        <w:rPr>
          <w:rFonts w:hint="eastAsia" w:ascii="ＭＳ 明朝" w:hAnsi="ＭＳ 明朝" w:eastAsia="ＭＳ 明朝"/>
        </w:rPr>
        <w:t>78</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"_Toc503474055"</w:instrText>
      </w:r>
      <w:r>
        <w:rPr>
          <w:rFonts w:hint="eastAsia"/>
        </w:rPr>
        <w:fldChar w:fldCharType="separate"/>
      </w:r>
      <w:r>
        <w:rPr>
          <w:rFonts w:hint="eastAsia" w:ascii="ＭＳ 明朝" w:hAnsi="ＭＳ 明朝" w:eastAsia="ＭＳ 明朝"/>
        </w:rPr>
        <w:t>（１）インクルーシブ教育システムの推進と教育相談体制の充実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78</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"_Toc503474056"</w:instrText>
      </w:r>
      <w:r>
        <w:rPr>
          <w:rFonts w:hint="eastAsia"/>
        </w:rPr>
        <w:fldChar w:fldCharType="separate"/>
      </w:r>
      <w:r>
        <w:rPr>
          <w:rFonts w:hint="eastAsia" w:ascii="ＭＳ 明朝" w:hAnsi="ＭＳ 明朝" w:eastAsia="ＭＳ 明朝"/>
        </w:rPr>
        <w:t>（２）特別支援教育の充実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79</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"_Toc503474058"</w:instrText>
      </w:r>
      <w:r>
        <w:rPr>
          <w:rFonts w:hint="eastAsia"/>
        </w:rPr>
        <w:fldChar w:fldCharType="separate"/>
      </w:r>
      <w:r>
        <w:rPr>
          <w:rFonts w:hint="eastAsia" w:ascii="ＭＳ 明朝" w:hAnsi="ＭＳ 明朝" w:eastAsia="ＭＳ 明朝"/>
        </w:rPr>
        <w:t>３　重症心身障害児（者）・医療的ケア児（者）に対する支援の充実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83</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"_Toc503474059"</w:instrText>
      </w:r>
      <w:r>
        <w:rPr>
          <w:rFonts w:hint="eastAsia"/>
        </w:rPr>
        <w:fldChar w:fldCharType="separate"/>
      </w:r>
      <w:r>
        <w:rPr>
          <w:rFonts w:hint="eastAsia" w:ascii="ＭＳ 明朝" w:hAnsi="ＭＳ 明朝" w:eastAsia="ＭＳ 明朝"/>
        </w:rPr>
        <w:t>（１）重症心身障害児（者）・医療的ケア児（者）に対する支援</w:t>
      </w:r>
      <w:r>
        <w:rPr>
          <w:rFonts w:hint="eastAsia" w:ascii="ＭＳ 明朝" w:hAnsi="ＭＳ 明朝" w:eastAsia="ＭＳ 明朝"/>
        </w:rPr>
        <w:tab/>
      </w:r>
      <w:r>
        <w:rPr>
          <w:rFonts w:hint="eastAsia"/>
        </w:rPr>
        <w:fldChar w:fldCharType="end"/>
      </w:r>
      <w:r>
        <w:rPr>
          <w:rFonts w:hint="eastAsia" w:ascii="ＭＳ 明朝" w:hAnsi="ＭＳ 明朝" w:eastAsia="ＭＳ 明朝"/>
        </w:rPr>
        <w:t>83</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"_Toc503474060"</w:instrText>
      </w:r>
      <w:r>
        <w:rPr>
          <w:rFonts w:hint="eastAsia"/>
        </w:rPr>
        <w:fldChar w:fldCharType="separate"/>
      </w:r>
      <w:r>
        <w:rPr>
          <w:rFonts w:hint="eastAsia" w:ascii="ＭＳ 明朝" w:hAnsi="ＭＳ 明朝" w:eastAsia="ＭＳ 明朝"/>
        </w:rPr>
        <w:t>４　発達障害のある人に対する支援の充実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85</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"_Toc503474061"</w:instrText>
      </w:r>
      <w:r>
        <w:rPr>
          <w:rFonts w:hint="eastAsia"/>
        </w:rPr>
        <w:fldChar w:fldCharType="separate"/>
      </w:r>
      <w:r>
        <w:rPr>
          <w:rFonts w:hint="eastAsia" w:ascii="ＭＳ 明朝" w:hAnsi="ＭＳ 明朝" w:eastAsia="ＭＳ 明朝"/>
        </w:rPr>
        <w:t>（１）発達障害のある人に対する支援</w:t>
      </w:r>
      <w:r>
        <w:rPr>
          <w:rFonts w:hint="eastAsia" w:ascii="ＭＳ 明朝" w:hAnsi="ＭＳ 明朝" w:eastAsia="ＭＳ 明朝"/>
        </w:rPr>
        <w:tab/>
      </w:r>
      <w:r>
        <w:rPr>
          <w:rFonts w:hint="eastAsia"/>
        </w:rPr>
        <w:fldChar w:fldCharType="end"/>
      </w:r>
      <w:r>
        <w:rPr>
          <w:rFonts w:hint="eastAsia" w:ascii="ＭＳ 明朝" w:hAnsi="ＭＳ 明朝" w:eastAsia="ＭＳ 明朝"/>
        </w:rPr>
        <w:t>85</w:t>
      </w:r>
    </w:p>
    <w:p>
      <w:pPr>
        <w:pStyle w:val="28"/>
        <w:tabs>
          <w:tab w:val="right" w:leader="middleDot" w:pos="9741"/>
        </w:tabs>
        <w:ind w:left="257" w:leftChars="107"/>
        <w:rPr>
          <w:rFonts w:hint="eastAsia" w:ascii="ＭＳ 明朝" w:hAnsi="ＭＳ 明朝" w:eastAsia="ＭＳ 明朝"/>
          <w:sz w:val="21"/>
        </w:rPr>
      </w:pPr>
      <w:r>
        <w:rPr>
          <w:rFonts w:hint="eastAsia" w:ascii="ＭＳ 明朝" w:hAnsi="ＭＳ 明朝" w:eastAsia="ＭＳ 明朝"/>
          <w:sz w:val="21"/>
        </w:rPr>
        <w:t>　</w:t>
      </w:r>
      <w:r>
        <w:rPr>
          <w:rFonts w:hint="eastAsia"/>
        </w:rPr>
        <w:fldChar w:fldCharType="begin"/>
      </w:r>
      <w:r>
        <w:rPr>
          <w:rFonts w:hint="eastAsia"/>
        </w:rPr>
        <w:instrText xml:space="preserve"> HYPERLINK  \l "_Toc503474061"</w:instrText>
      </w:r>
      <w:r>
        <w:rPr>
          <w:rFonts w:hint="eastAsia"/>
        </w:rPr>
        <w:fldChar w:fldCharType="separate"/>
      </w:r>
      <w:r>
        <w:rPr>
          <w:rFonts w:hint="eastAsia" w:ascii="ＭＳ 明朝" w:hAnsi="ＭＳ 明朝" w:eastAsia="ＭＳ 明朝"/>
        </w:rPr>
        <w:t>（２）強度行動障害のある人に対する支援</w:t>
      </w:r>
      <w:r>
        <w:rPr>
          <w:rFonts w:hint="eastAsia" w:ascii="ＭＳ 明朝" w:hAnsi="ＭＳ 明朝" w:eastAsia="ＭＳ 明朝"/>
        </w:rPr>
        <w:tab/>
      </w:r>
      <w:r>
        <w:rPr>
          <w:rFonts w:hint="eastAsia"/>
        </w:rPr>
        <w:fldChar w:fldCharType="end"/>
      </w:r>
      <w:r>
        <w:rPr>
          <w:rFonts w:hint="eastAsia" w:ascii="ＭＳ 明朝" w:hAnsi="ＭＳ 明朝" w:eastAsia="ＭＳ 明朝"/>
        </w:rPr>
        <w:t>86</w:t>
      </w:r>
    </w:p>
    <w:p>
      <w:pPr>
        <w:pStyle w:val="28"/>
        <w:tabs>
          <w:tab w:val="right" w:leader="middleDot" w:pos="9741"/>
        </w:tabs>
        <w:rPr>
          <w:rFonts w:hint="eastAsia" w:ascii="ＭＳ 明朝" w:hAnsi="ＭＳ 明朝" w:eastAsia="ＭＳ 明朝"/>
          <w:sz w:val="21"/>
        </w:rPr>
      </w:pPr>
    </w:p>
    <w:p>
      <w:pPr>
        <w:pStyle w:val="28"/>
        <w:tabs>
          <w:tab w:val="right" w:leader="middleDot" w:pos="9741"/>
        </w:tabs>
        <w:rPr>
          <w:rFonts w:hint="eastAsia" w:ascii="ＭＳ 明朝" w:hAnsi="ＭＳ 明朝" w:eastAsia="ＭＳ 明朝"/>
          <w:sz w:val="21"/>
        </w:rPr>
      </w:pPr>
      <w:r>
        <w:rPr>
          <w:rFonts w:hint="eastAsia" w:ascii="ＭＳ 明朝" w:hAnsi="ＭＳ 明朝" w:eastAsia="ＭＳ 明朝"/>
          <w:sz w:val="24"/>
        </w:rPr>
        <w:t>５</w:t>
      </w:r>
      <w:r>
        <w:rPr>
          <w:rFonts w:hint="eastAsia"/>
        </w:rPr>
        <w:fldChar w:fldCharType="begin"/>
      </w:r>
      <w:r>
        <w:rPr>
          <w:rFonts w:hint="eastAsia"/>
        </w:rPr>
        <w:instrText xml:space="preserve"> HYPERLINK  \l "_Toc503474062"</w:instrText>
      </w:r>
      <w:r>
        <w:rPr>
          <w:rFonts w:hint="eastAsia"/>
        </w:rPr>
        <w:fldChar w:fldCharType="separate"/>
      </w:r>
      <w:r>
        <w:rPr>
          <w:rFonts w:hint="eastAsia" w:ascii="ＭＳ 明朝" w:hAnsi="ＭＳ 明朝" w:eastAsia="ＭＳ 明朝"/>
          <w:sz w:val="24"/>
        </w:rPr>
        <w:t>　精神障害のある人に対する支援の充実</w:t>
      </w:r>
      <w:r>
        <w:rPr>
          <w:rFonts w:hint="eastAsia" w:ascii="ＭＳ 明朝" w:hAnsi="ＭＳ 明朝" w:eastAsia="ＭＳ 明朝"/>
          <w:sz w:val="24"/>
        </w:rPr>
        <w:tab/>
      </w:r>
      <w:r>
        <w:rPr>
          <w:rFonts w:hint="eastAsia"/>
        </w:rPr>
        <w:fldChar w:fldCharType="end"/>
      </w:r>
      <w:r>
        <w:rPr>
          <w:rFonts w:hint="eastAsia" w:ascii="ＭＳ 明朝" w:hAnsi="ＭＳ 明朝" w:eastAsia="ＭＳ 明朝"/>
        </w:rPr>
        <w:t>87</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"_Toc503474063"</w:instrText>
      </w:r>
      <w:r>
        <w:rPr>
          <w:rFonts w:hint="eastAsia"/>
        </w:rPr>
        <w:fldChar w:fldCharType="separate"/>
      </w:r>
      <w:r>
        <w:rPr>
          <w:rFonts w:hint="eastAsia" w:ascii="ＭＳ 明朝" w:hAnsi="ＭＳ 明朝" w:eastAsia="ＭＳ 明朝"/>
        </w:rPr>
        <w:t>（１）精神障害のある人に対する支援</w:t>
      </w:r>
      <w:r>
        <w:rPr>
          <w:rFonts w:hint="eastAsia" w:ascii="ＭＳ 明朝" w:hAnsi="ＭＳ 明朝" w:eastAsia="ＭＳ 明朝"/>
        </w:rPr>
        <w:tab/>
      </w:r>
      <w:r>
        <w:rPr>
          <w:rFonts w:hint="eastAsia"/>
        </w:rPr>
        <w:fldChar w:fldCharType="end"/>
      </w:r>
      <w:r>
        <w:rPr>
          <w:rFonts w:hint="eastAsia" w:ascii="ＭＳ 明朝" w:hAnsi="ＭＳ 明朝" w:eastAsia="ＭＳ 明朝"/>
        </w:rPr>
        <w:t>87</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"_Toc503474064"</w:instrText>
      </w:r>
      <w:r>
        <w:rPr>
          <w:rFonts w:hint="eastAsia"/>
        </w:rPr>
        <w:fldChar w:fldCharType="separate"/>
      </w:r>
      <w:r>
        <w:rPr>
          <w:rFonts w:hint="eastAsia" w:ascii="ＭＳ 明朝" w:hAnsi="ＭＳ 明朝" w:eastAsia="ＭＳ 明朝"/>
        </w:rPr>
        <w:t>６　難病のある人に対する支援の充実</w:t>
      </w:r>
      <w:r>
        <w:rPr>
          <w:rFonts w:hint="eastAsia" w:ascii="ＭＳ 明朝" w:hAnsi="ＭＳ 明朝" w:eastAsia="ＭＳ 明朝"/>
        </w:rPr>
        <w:tab/>
      </w:r>
      <w:r>
        <w:rPr>
          <w:rFonts w:hint="eastAsia"/>
        </w:rPr>
        <w:fldChar w:fldCharType="end"/>
      </w:r>
      <w:r>
        <w:rPr>
          <w:rFonts w:hint="eastAsia" w:ascii="ＭＳ 明朝" w:hAnsi="ＭＳ 明朝" w:eastAsia="ＭＳ 明朝"/>
        </w:rPr>
        <w:t>90</w:t>
      </w:r>
    </w:p>
    <w:p>
      <w:pPr>
        <w:pStyle w:val="31"/>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"_Toc503474065"</w:instrText>
      </w:r>
      <w:r>
        <w:rPr>
          <w:rFonts w:hint="eastAsia"/>
        </w:rPr>
        <w:fldChar w:fldCharType="separate"/>
      </w:r>
      <w:r>
        <w:rPr>
          <w:rFonts w:hint="eastAsia" w:ascii="ＭＳ 明朝" w:hAnsi="ＭＳ 明朝" w:eastAsia="ＭＳ 明朝"/>
        </w:rPr>
        <w:t>（１）難病患者に対する支援</w:t>
      </w:r>
      <w:r>
        <w:rPr>
          <w:rFonts w:hint="eastAsia" w:ascii="ＭＳ 明朝" w:hAnsi="ＭＳ 明朝" w:eastAsia="ＭＳ 明朝"/>
        </w:rPr>
        <w:tab/>
      </w:r>
      <w:r>
        <w:rPr>
          <w:rFonts w:hint="eastAsia"/>
        </w:rPr>
        <w:fldChar w:fldCharType="end"/>
      </w:r>
      <w:r>
        <w:rPr>
          <w:rFonts w:hint="eastAsia" w:ascii="ＭＳ 明朝" w:hAnsi="ＭＳ 明朝" w:eastAsia="ＭＳ 明朝"/>
        </w:rPr>
        <w:t>90</w:t>
      </w:r>
    </w:p>
    <w:p>
      <w:pPr>
        <w:pStyle w:val="0"/>
        <w:tabs>
          <w:tab w:val="right" w:leader="middleDot" w:pos="9741"/>
        </w:tabs>
        <w:rPr>
          <w:rFonts w:hint="default" w:ascii="Century" w:hAnsi="Century"/>
          <w:sz w:val="21"/>
        </w:rPr>
      </w:pPr>
    </w:p>
    <w:p>
      <w:pPr>
        <w:pStyle w:val="0"/>
        <w:rPr>
          <w:rFonts w:hint="default" w:ascii="ＭＳ ゴシック" w:hAnsi="ＭＳ ゴシック" w:eastAsia="ＭＳ ゴシック"/>
          <w:b w:val="1"/>
        </w:rPr>
      </w:pPr>
      <w:r>
        <w:rPr>
          <w:rFonts w:hint="eastAsia" w:ascii="ＭＳ ゴシック" w:hAnsi="ＭＳ ゴシック" w:eastAsia="ＭＳ ゴシック"/>
          <w:b w:val="1"/>
        </w:rPr>
        <w:t>【資料】</w:t>
      </w:r>
    </w:p>
    <w:p>
      <w:pPr>
        <w:pStyle w:val="28"/>
        <w:tabs>
          <w:tab w:val="right" w:leader="middleDot" w:pos="9741"/>
        </w:tabs>
        <w:rPr>
          <w:rFonts w:hint="eastAsia" w:ascii="ＭＳ 明朝" w:hAnsi="ＭＳ 明朝" w:eastAsia="ＭＳ 明朝"/>
          <w:sz w:val="21"/>
        </w:rPr>
      </w:pPr>
      <w:r>
        <w:rPr>
          <w:rFonts w:hint="eastAsia" w:ascii="ＭＳ 明朝" w:hAnsi="ＭＳ 明朝" w:eastAsia="ＭＳ 明朝"/>
        </w:rPr>
        <w:t>資料１　静岡県障害者施策推進協議会条例</w:t>
      </w:r>
      <w:r>
        <w:rPr>
          <w:rFonts w:hint="eastAsia" w:ascii="ＭＳ 明朝" w:hAnsi="ＭＳ 明朝" w:eastAsia="ＭＳ 明朝"/>
        </w:rPr>
        <w:tab/>
      </w:r>
      <w:r>
        <w:rPr>
          <w:rFonts w:hint="eastAsia" w:ascii="ＭＳ 明朝" w:hAnsi="ＭＳ 明朝" w:eastAsia="ＭＳ 明朝"/>
        </w:rPr>
        <w:t>93</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"_Toc503474107"</w:instrText>
      </w:r>
      <w:r>
        <w:rPr>
          <w:rFonts w:hint="eastAsia"/>
        </w:rPr>
        <w:fldChar w:fldCharType="separate"/>
      </w:r>
      <w:r>
        <w:rPr>
          <w:rFonts w:hint="eastAsia" w:ascii="ＭＳ 明朝" w:hAnsi="ＭＳ 明朝" w:eastAsia="ＭＳ 明朝"/>
        </w:rPr>
        <w:t>資料２　静岡県障害者施策推進協議会委員名簿</w:t>
      </w:r>
      <w:r>
        <w:rPr>
          <w:rFonts w:hint="eastAsia" w:ascii="ＭＳ 明朝" w:hAnsi="ＭＳ 明朝" w:eastAsia="ＭＳ 明朝"/>
        </w:rPr>
        <w:tab/>
      </w:r>
      <w:r>
        <w:rPr>
          <w:rFonts w:hint="eastAsia" w:ascii="ＭＳ 明朝" w:hAnsi="ＭＳ 明朝" w:eastAsia="ＭＳ 明朝"/>
        </w:rPr>
        <w:t>94</w:t>
      </w:r>
      <w:r>
        <w:rPr>
          <w:rFonts w:hint="eastAsia"/>
        </w:rPr>
        <w:fldChar w:fldCharType="end"/>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"_Toc503474109"</w:instrText>
      </w:r>
      <w:r>
        <w:rPr>
          <w:rFonts w:hint="eastAsia"/>
        </w:rPr>
        <w:fldChar w:fldCharType="separate"/>
      </w:r>
      <w:r>
        <w:rPr>
          <w:rFonts w:hint="eastAsia" w:ascii="ＭＳ 明朝" w:hAnsi="ＭＳ 明朝" w:eastAsia="ＭＳ 明朝"/>
        </w:rPr>
        <w:t>資料３　静岡県障害者計画等策定・推進協議会設置要綱</w:t>
      </w:r>
      <w:r>
        <w:rPr>
          <w:rFonts w:hint="eastAsia" w:ascii="ＭＳ 明朝" w:hAnsi="ＭＳ 明朝" w:eastAsia="ＭＳ 明朝"/>
        </w:rPr>
        <w:tab/>
      </w:r>
      <w:r>
        <w:rPr>
          <w:rFonts w:hint="eastAsia"/>
        </w:rPr>
        <w:fldChar w:fldCharType="end"/>
      </w:r>
      <w:r>
        <w:rPr>
          <w:rFonts w:hint="eastAsia"/>
        </w:rPr>
        <w:t>95</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"_Toc503474133"</w:instrText>
      </w:r>
      <w:r>
        <w:rPr>
          <w:rFonts w:hint="eastAsia"/>
        </w:rPr>
        <w:fldChar w:fldCharType="separate"/>
      </w:r>
      <w:r>
        <w:rPr>
          <w:rFonts w:hint="eastAsia" w:ascii="ＭＳ 明朝" w:hAnsi="ＭＳ 明朝" w:eastAsia="ＭＳ 明朝"/>
        </w:rPr>
        <w:t>資料４　策定経緯</w:t>
      </w:r>
      <w:r>
        <w:rPr>
          <w:rFonts w:hint="eastAsia" w:ascii="ＭＳ 明朝" w:hAnsi="ＭＳ 明朝" w:eastAsia="ＭＳ 明朝"/>
        </w:rPr>
        <w:tab/>
      </w:r>
      <w:r>
        <w:rPr>
          <w:rFonts w:hint="eastAsia"/>
        </w:rPr>
        <w:fldChar w:fldCharType="end"/>
      </w:r>
      <w:r>
        <w:rPr>
          <w:rFonts w:hint="eastAsia"/>
        </w:rPr>
        <w:t>97</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"_Toc503474141"</w:instrText>
      </w:r>
      <w:r>
        <w:rPr>
          <w:rFonts w:hint="eastAsia"/>
        </w:rPr>
        <w:fldChar w:fldCharType="separate"/>
      </w:r>
      <w:r>
        <w:rPr>
          <w:rFonts w:hint="eastAsia" w:ascii="ＭＳ 明朝" w:hAnsi="ＭＳ 明朝" w:eastAsia="ＭＳ 明朝"/>
        </w:rPr>
        <w:t>資料５　「静岡県障害のある方の実態調査」の結果概要</w:t>
      </w:r>
      <w:r>
        <w:rPr>
          <w:rFonts w:hint="eastAsia" w:ascii="ＭＳ 明朝" w:hAnsi="ＭＳ 明朝" w:eastAsia="ＭＳ 明朝"/>
        </w:rPr>
        <w:tab/>
      </w:r>
      <w:r>
        <w:rPr>
          <w:rFonts w:hint="eastAsia"/>
        </w:rPr>
        <w:fldChar w:fldCharType="end"/>
      </w:r>
      <w:r>
        <w:rPr>
          <w:rFonts w:hint="eastAsia"/>
        </w:rPr>
        <w:t>98</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"_Toc503474142"</w:instrText>
      </w:r>
      <w:r>
        <w:rPr>
          <w:rFonts w:hint="eastAsia"/>
        </w:rPr>
        <w:fldChar w:fldCharType="separate"/>
      </w:r>
      <w:r>
        <w:rPr>
          <w:rFonts w:hint="eastAsia" w:ascii="ＭＳ 明朝" w:hAnsi="ＭＳ 明朝" w:eastAsia="ＭＳ 明朝"/>
        </w:rPr>
        <w:t>資料６　「県政インターネットモニターアンケート」の結果概要</w:t>
      </w:r>
      <w:r>
        <w:rPr>
          <w:rFonts w:hint="eastAsia" w:ascii="ＭＳ 明朝" w:hAnsi="ＭＳ 明朝" w:eastAsia="ＭＳ 明朝"/>
        </w:rPr>
        <w:tab/>
      </w:r>
      <w:r>
        <w:rPr>
          <w:rFonts w:hint="eastAsia"/>
        </w:rPr>
        <w:fldChar w:fldCharType="end"/>
      </w:r>
      <w:r>
        <w:rPr>
          <w:rFonts w:hint="eastAsia"/>
        </w:rPr>
        <w:t>104</w:t>
      </w:r>
    </w:p>
    <w:p>
      <w:pPr>
        <w:pStyle w:val="28"/>
        <w:tabs>
          <w:tab w:val="right" w:leader="middleDot" w:pos="9741"/>
        </w:tabs>
        <w:rPr>
          <w:rFonts w:hint="eastAsia" w:ascii="ＭＳ 明朝" w:hAnsi="ＭＳ 明朝" w:eastAsia="ＭＳ 明朝"/>
          <w:sz w:val="21"/>
        </w:rPr>
      </w:pPr>
      <w:r>
        <w:rPr>
          <w:rFonts w:hint="eastAsia"/>
        </w:rPr>
        <w:fldChar w:fldCharType="begin"/>
      </w:r>
      <w:r>
        <w:rPr>
          <w:rFonts w:hint="eastAsia"/>
        </w:rPr>
        <w:instrText xml:space="preserve"> HYPERLINK  \l "_Toc503474143"</w:instrText>
      </w:r>
      <w:r>
        <w:rPr>
          <w:rFonts w:hint="eastAsia"/>
        </w:rPr>
        <w:fldChar w:fldCharType="separate"/>
      </w:r>
      <w:r>
        <w:rPr>
          <w:rFonts w:hint="eastAsia" w:ascii="ＭＳ 明朝" w:hAnsi="ＭＳ 明朝" w:eastAsia="ＭＳ 明朝"/>
        </w:rPr>
        <w:t>資料７　用語の説明</w:t>
      </w:r>
      <w:r>
        <w:rPr>
          <w:rFonts w:hint="eastAsia" w:ascii="ＭＳ 明朝" w:hAnsi="ＭＳ 明朝" w:eastAsia="ＭＳ 明朝"/>
        </w:rPr>
        <w:tab/>
      </w:r>
      <w:r>
        <w:rPr>
          <w:rFonts w:hint="eastAsia" w:ascii="ＭＳ 明朝" w:hAnsi="ＭＳ 明朝" w:eastAsia="ＭＳ 明朝"/>
        </w:rPr>
        <w:t>106</w:t>
      </w:r>
      <w:r>
        <w:rPr>
          <w:rFonts w:hint="eastAsia"/>
        </w:rPr>
        <w:fldChar w:fldCharType="end"/>
      </w:r>
    </w:p>
    <w:p>
      <w:pPr>
        <w:pStyle w:val="28"/>
        <w:tabs>
          <w:tab w:val="right" w:leader="middleDot" w:pos="9741"/>
        </w:tabs>
        <w:rPr>
          <w:rFonts w:hint="default" w:ascii="Century" w:hAnsi="Century"/>
          <w:sz w:val="21"/>
        </w:rPr>
      </w:pPr>
      <w:r>
        <w:rPr>
          <w:rFonts w:hint="eastAsia"/>
        </w:rPr>
        <w:fldChar w:fldCharType="begin"/>
      </w:r>
      <w:r>
        <w:rPr>
          <w:rFonts w:hint="eastAsia"/>
        </w:rPr>
        <w:instrText xml:space="preserve"> HYPERLINK  \l "_Toc503474144"</w:instrText>
      </w:r>
      <w:r>
        <w:rPr>
          <w:rFonts w:hint="eastAsia"/>
        </w:rPr>
        <w:fldChar w:fldCharType="separate"/>
      </w:r>
      <w:r>
        <w:rPr>
          <w:rFonts w:hint="eastAsia" w:ascii="ＭＳ 明朝" w:hAnsi="ＭＳ 明朝" w:eastAsia="ＭＳ 明朝"/>
        </w:rPr>
        <w:t>資料８　主な障害に関する啓発マーク</w:t>
      </w:r>
      <w:r>
        <w:rPr>
          <w:rFonts w:hint="eastAsia" w:ascii="ＭＳ 明朝" w:hAnsi="ＭＳ 明朝" w:eastAsia="ＭＳ 明朝"/>
        </w:rPr>
        <w:tab/>
      </w:r>
      <w:r>
        <w:rPr>
          <w:rFonts w:hint="eastAsia"/>
        </w:rPr>
        <w:fldChar w:fldCharType="end"/>
      </w:r>
      <w:r>
        <w:rPr>
          <w:rFonts w:hint="eastAsia"/>
        </w:rPr>
        <w:t>119</w:t>
      </w:r>
    </w:p>
    <w:p>
      <w:pPr>
        <w:pStyle w:val="0"/>
        <w:rPr>
          <w:rFonts w:hint="default"/>
        </w:rPr>
      </w:pPr>
      <w:r>
        <w:rPr>
          <w:rFonts w:hint="default" w:ascii="HG丸ｺﾞｼｯｸM-PRO" w:hAnsi="HG丸ｺﾞｼｯｸM-PRO" w:eastAsia="HG丸ｺﾞｼｯｸM-PRO"/>
        </w:rPr>
        <w:fldChar w:fldCharType="end"/>
      </w:r>
      <w:r>
        <w:rPr>
          <w:rFonts w:hint="eastAsia"/>
        </w:rPr>
        <mc:AlternateContent>
          <mc:Choice Requires="wps">
            <w:drawing>
              <wp:anchor distT="0" distB="0" distL="203200" distR="203200" simplePos="0" relativeHeight="21" behindDoc="0" locked="0" layoutInCell="1" hidden="0" allowOverlap="1">
                <wp:simplePos x="0" y="0"/>
                <wp:positionH relativeFrom="column">
                  <wp:posOffset>101600</wp:posOffset>
                </wp:positionH>
                <wp:positionV relativeFrom="paragraph">
                  <wp:posOffset>317500</wp:posOffset>
                </wp:positionV>
                <wp:extent cx="6189980" cy="1812925"/>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a:spLocks noChangeArrowheads="1"/>
                      </wps:cNvSpPr>
                      <wps:spPr>
                        <a:xfrm>
                          <a:off x="0" y="0"/>
                          <a:ext cx="6189980" cy="1812925"/>
                        </a:xfrm>
                        <a:prstGeom prst="roundRect">
                          <a:avLst>
                            <a:gd name="adj" fmla="val 16665"/>
                          </a:avLst>
                        </a:prstGeom>
                        <a:solidFill>
                          <a:srgbClr val="FFFFFF"/>
                        </a:solidFill>
                        <a:ln w="9525" cap="flat" cmpd="sng">
                          <a:solidFill>
                            <a:srgbClr val="000000"/>
                          </a:solidFill>
                          <a:prstDash val="solid"/>
                        </a:ln>
                      </wps:spPr>
                      <wps:txbx>
                        <w:txbxContent>
                          <w:p>
                            <w:pPr>
                              <w:pStyle w:val="0"/>
                              <w:rPr>
                                <w:rFonts w:hint="default"/>
                              </w:rPr>
                            </w:pPr>
                            <w:r>
                              <w:rPr>
                                <w:rFonts w:hint="eastAsia"/>
                              </w:rPr>
                              <w:t>凡例</w:t>
                            </w:r>
                          </w:p>
                          <w:p>
                            <w:pPr>
                              <w:pStyle w:val="0"/>
                              <w:ind w:left="480" w:hanging="480" w:hangingChars="200"/>
                              <w:rPr>
                                <w:rFonts w:hint="default"/>
                              </w:rPr>
                            </w:pPr>
                            <w:r>
                              <w:rPr>
                                <w:rFonts w:hint="eastAsia"/>
                              </w:rPr>
                              <w:t>１　本計画の本文中で「＊」が付されている用語については、巻末の資料で用語の説明をしています。</w:t>
                            </w:r>
                          </w:p>
                          <w:p>
                            <w:pPr>
                              <w:pStyle w:val="0"/>
                              <w:ind w:left="480" w:hanging="480" w:hangingChars="200"/>
                              <w:rPr>
                                <w:rFonts w:hint="default"/>
                              </w:rPr>
                            </w:pPr>
                            <w:r>
                              <w:rPr>
                                <w:rFonts w:hint="eastAsia"/>
                              </w:rPr>
                              <w:t>２　本計画の本文中に出てくる障害のある方の実態調査とは、</w:t>
                            </w:r>
                            <w:r>
                              <w:rPr>
                                <w:rFonts w:hint="eastAsia"/>
                              </w:rPr>
                              <w:t>2020</w:t>
                            </w:r>
                            <w:r>
                              <w:rPr>
                                <w:rFonts w:hint="eastAsia"/>
                              </w:rPr>
                              <w:t>年９月から</w:t>
                            </w:r>
                            <w:r>
                              <w:rPr>
                                <w:rFonts w:hint="eastAsia"/>
                              </w:rPr>
                              <w:t>11</w:t>
                            </w:r>
                            <w:r>
                              <w:rPr>
                                <w:rFonts w:hint="eastAsia"/>
                              </w:rPr>
                              <w:t>月に実施した「静岡県障害のある方の実態調査」のことをいいます。</w:t>
                            </w:r>
                          </w:p>
                        </w:txbxContent>
                      </wps:txbx>
                      <wps:bodyPr vertOverflow="overflow" horzOverflow="overflow" wrap="square" upright="1"/>
                    </wps:wsp>
                  </a:graphicData>
                </a:graphic>
              </wp:anchor>
            </w:drawing>
          </mc:Choice>
          <mc:Fallback>
            <w:pict>
              <v:roundrect id="オブジェクト 0" style="mso-wrap-distance-right:16pt;mso-wrap-distance-bottom:0pt;margin-top:25pt;mso-position-vertical-relative:text;mso-position-horizontal-relative:text;position:absolute;height:142.75pt;mso-wrap-distance-top:0pt;width:487.4pt;mso-wrap-distance-left:16pt;margin-left:8pt;z-index:21;" o:spid="_x0000_s1029" o:allowincell="t" o:allowoverlap="t" filled="t" fillcolor="#ffffff" stroked="t" strokecolor="#000000" strokeweight="0.75pt" o:spt="2" arcsize="10923f">
                <v:fill/>
                <v:stroke linestyle="single" endcap="flat" dashstyle="solid" filltype="solid"/>
                <v:textbox style="layout-flow:horizontal;">
                  <w:txbxContent>
                    <w:p>
                      <w:pPr>
                        <w:pStyle w:val="0"/>
                        <w:rPr>
                          <w:rFonts w:hint="default"/>
                        </w:rPr>
                      </w:pPr>
                      <w:r>
                        <w:rPr>
                          <w:rFonts w:hint="eastAsia"/>
                        </w:rPr>
                        <w:t>凡例</w:t>
                      </w:r>
                    </w:p>
                    <w:p>
                      <w:pPr>
                        <w:pStyle w:val="0"/>
                        <w:ind w:left="480" w:hanging="480" w:hangingChars="200"/>
                        <w:rPr>
                          <w:rFonts w:hint="default"/>
                        </w:rPr>
                      </w:pPr>
                      <w:r>
                        <w:rPr>
                          <w:rFonts w:hint="eastAsia"/>
                        </w:rPr>
                        <w:t>１　本計画の本文中で「＊」が付されている用語については、巻末の資料で用語の説明をしています。</w:t>
                      </w:r>
                    </w:p>
                    <w:p>
                      <w:pPr>
                        <w:pStyle w:val="0"/>
                        <w:ind w:left="480" w:hanging="480" w:hangingChars="200"/>
                        <w:rPr>
                          <w:rFonts w:hint="default"/>
                        </w:rPr>
                      </w:pPr>
                      <w:r>
                        <w:rPr>
                          <w:rFonts w:hint="eastAsia"/>
                        </w:rPr>
                        <w:t>２　本計画の本文中に出てくる障害のある方の実態調査とは、</w:t>
                      </w:r>
                      <w:r>
                        <w:rPr>
                          <w:rFonts w:hint="eastAsia"/>
                        </w:rPr>
                        <w:t>2020</w:t>
                      </w:r>
                      <w:r>
                        <w:rPr>
                          <w:rFonts w:hint="eastAsia"/>
                        </w:rPr>
                        <w:t>年９月から</w:t>
                      </w:r>
                      <w:r>
                        <w:rPr>
                          <w:rFonts w:hint="eastAsia"/>
                        </w:rPr>
                        <w:t>11</w:t>
                      </w:r>
                      <w:r>
                        <w:rPr>
                          <w:rFonts w:hint="eastAsia"/>
                        </w:rPr>
                        <w:t>月に実施した「静岡県障害のある方の実態調査」のことをいいます。</w:t>
                      </w:r>
                    </w:p>
                  </w:txbxContent>
                </v:textbox>
                <v:imagedata o:title=""/>
                <w10:wrap type="none" anchorx="text" anchory="text"/>
              </v:roundrect>
            </w:pict>
          </mc:Fallback>
        </mc:AlternateContent>
      </w:r>
    </w:p>
    <w:p>
      <w:pPr>
        <w:rPr>
          <w:rFonts w:hint="default" w:ascii="ＭＳ ゴシック" w:hAnsi="ＭＳ ゴシック" w:eastAsia="ＭＳ ゴシック"/>
        </w:rPr>
        <w:sectPr>
          <w:headerReference r:id="rId6" w:type="default"/>
          <w:footerReference r:id="rId7" w:type="default"/>
          <w:type w:val="continuous"/>
          <w:pgSz w:w="11906" w:h="16838"/>
          <w:pgMar w:top="1134" w:right="1021" w:bottom="1134" w:left="1134" w:header="284" w:footer="284" w:gutter="0"/>
          <w:pgNumType w:start="1"/>
          <w:cols w:space="720"/>
          <w:titlePg w:val="1"/>
          <w:textDirection w:val="lrTb"/>
          <w:docGrid w:type="lines" w:linePitch="428"/>
        </w:sectPr>
      </w:pPr>
    </w:p>
    <w:p>
      <w:pPr>
        <w:pStyle w:val="0"/>
        <w:rPr>
          <w:rFonts w:hint="default" w:ascii="ＭＳ ゴシック" w:hAnsi="ＭＳ ゴシック" w:eastAsia="ＭＳ ゴシック"/>
          <w:u w:val="single" w:color="auto"/>
        </w:rPr>
      </w:pPr>
    </w:p>
    <w:p>
      <w:pPr>
        <w:pStyle w:val="0"/>
        <w:rPr>
          <w:rFonts w:hint="default" w:ascii="ＭＳ ゴシック" w:hAnsi="ＭＳ ゴシック" w:eastAsia="ＭＳ ゴシック"/>
          <w:u w:val="single" w:color="auto"/>
        </w:rPr>
      </w:pPr>
    </w:p>
    <w:p>
      <w:pPr>
        <w:pStyle w:val="0"/>
        <w:rPr>
          <w:rFonts w:hint="default"/>
          <w:sz w:val="18"/>
          <w:u w:val="single" w:color="auto"/>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center"/>
        <w:rPr>
          <w:rFonts w:hint="default" w:ascii="ＭＳ ゴシック" w:hAnsi="ＭＳ ゴシック" w:eastAsia="ＭＳ ゴシック"/>
          <w:sz w:val="48"/>
        </w:rPr>
      </w:pPr>
      <w:r>
        <w:rPr>
          <w:rFonts w:hint="eastAsia" w:ascii="ＭＳ ゴシック" w:hAnsi="ＭＳ ゴシック" w:eastAsia="ＭＳ ゴシック"/>
          <w:sz w:val="48"/>
        </w:rPr>
        <w:t>【第１部】</w:t>
      </w:r>
    </w:p>
    <w:p>
      <w:pPr>
        <w:pStyle w:val="0"/>
        <w:jc w:val="center"/>
        <w:rPr>
          <w:rFonts w:hint="default" w:ascii="ＭＳ ゴシック" w:hAnsi="ＭＳ ゴシック" w:eastAsia="ＭＳ ゴシック"/>
          <w:sz w:val="48"/>
        </w:rPr>
      </w:pPr>
      <w:r>
        <w:rPr>
          <w:rFonts w:hint="eastAsia" w:ascii="ＭＳ ゴシック" w:hAnsi="ＭＳ ゴシック" w:eastAsia="ＭＳ ゴシック"/>
          <w:sz w:val="48"/>
        </w:rPr>
        <w:t>総　　論</w:t>
      </w: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rPr>
          <w:rFonts w:hint="default" w:ascii="ＭＳ ゴシック" w:hAnsi="ＭＳ ゴシック" w:eastAsia="ＭＳ ゴシック"/>
          <w:sz w:val="48"/>
        </w:rPr>
        <w:sectPr>
          <w:footerReference r:id="rId9" w:type="default"/>
          <w:pgSz w:w="11906" w:h="16838"/>
          <w:pgMar w:top="1134" w:right="1021" w:bottom="1134" w:left="1134" w:header="284" w:footer="284" w:gutter="0"/>
          <w:pgNumType w:start="1"/>
          <w:cols w:space="720"/>
          <w:textDirection w:val="lrTb"/>
          <w:docGrid w:type="lines" w:linePitch="428"/>
        </w:sectPr>
      </w:pPr>
    </w:p>
    <w:p>
      <w:pPr>
        <w:pStyle w:val="0"/>
        <w:jc w:val="left"/>
        <w:outlineLvl w:val="0"/>
        <w:rPr>
          <w:rFonts w:hint="default" w:ascii="ＭＳ ゴシック" w:hAnsi="ＭＳ ゴシック"/>
          <w:b w:val="1"/>
          <w:color w:val="FFFFFF"/>
          <w:sz w:val="36"/>
        </w:rPr>
      </w:pPr>
      <w:bookmarkStart w:id="2" w:name="_Toc500151921"/>
      <w:bookmarkEnd w:id="2"/>
      <w:bookmarkStart w:id="3" w:name="_Toc500151923"/>
      <w:bookmarkEnd w:id="3"/>
      <w:bookmarkStart w:id="4" w:name="_Toc500151924"/>
      <w:bookmarkEnd w:id="4"/>
      <w:bookmarkStart w:id="5" w:name="_Toc500151925"/>
      <w:bookmarkEnd w:id="5"/>
      <w:bookmarkStart w:id="6" w:name="_Toc500151926"/>
      <w:bookmarkEnd w:id="6"/>
      <w:bookmarkStart w:id="7" w:name="_Toc500151927"/>
      <w:bookmarkEnd w:id="7"/>
      <w:r>
        <w:rPr>
          <w:rFonts w:hint="eastAsia" w:ascii="ＭＳ ゴシック" w:hAnsi="ＭＳ ゴシック"/>
          <w:b w:val="1"/>
          <w:color w:val="FFFFFF"/>
          <w:sz w:val="36"/>
        </w:rPr>
        <w:t>Ⅰ　計画の概要</w:t>
      </w:r>
    </w:p>
    <w:p>
      <w:pPr>
        <w:pStyle w:val="0"/>
        <w:outlineLvl w:val="1"/>
        <w:rPr>
          <w:rFonts w:hint="default" w:ascii="ＭＳ ゴシック" w:hAnsi="ＭＳ ゴシック" w:eastAsia="ＭＳ ゴシック"/>
          <w:sz w:val="26"/>
        </w:rPr>
      </w:pPr>
      <w:bookmarkStart w:id="8" w:name="_Toc500151922"/>
      <w:bookmarkEnd w:id="8"/>
      <w:bookmarkStart w:id="9" w:name="_Toc500151928"/>
      <w:bookmarkEnd w:id="9"/>
      <w:bookmarkStart w:id="10" w:name="_Toc500151932"/>
      <w:bookmarkEnd w:id="10"/>
      <w:bookmarkStart w:id="11" w:name="_Toc500152680"/>
      <w:bookmarkEnd w:id="11"/>
      <w:bookmarkStart w:id="12" w:name="_Toc500152681"/>
      <w:bookmarkEnd w:id="12"/>
      <w:bookmarkStart w:id="13" w:name="_Toc500152682"/>
      <w:bookmarkEnd w:id="13"/>
      <w:r>
        <w:rPr>
          <w:rFonts w:hint="eastAsia" w:ascii="ＭＳ ゴシック" w:hAnsi="ＭＳ ゴシック" w:eastAsia="ＭＳ ゴシック"/>
          <w:sz w:val="26"/>
        </w:rPr>
        <mc:AlternateContent>
          <mc:Choice Requires="wps">
            <w:drawing>
              <wp:anchor distT="0" distB="0" distL="114300" distR="114300" simplePos="0" relativeHeight="13" behindDoc="0" locked="0" layoutInCell="1" hidden="0" allowOverlap="1">
                <wp:simplePos x="0" y="0"/>
                <wp:positionH relativeFrom="column">
                  <wp:posOffset>0</wp:posOffset>
                </wp:positionH>
                <wp:positionV relativeFrom="paragraph">
                  <wp:posOffset>-543560</wp:posOffset>
                </wp:positionV>
                <wp:extent cx="6120130" cy="335915"/>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a:spLocks noChangeArrowheads="1"/>
                      </wps:cNvSpPr>
                      <wps:spPr>
                        <a:xfrm>
                          <a:off x="0" y="0"/>
                          <a:ext cx="6120130" cy="335915"/>
                        </a:xfrm>
                        <a:prstGeom prst="roundRect">
                          <a:avLst>
                            <a:gd name="adj" fmla="val 16695"/>
                          </a:avLst>
                        </a:prstGeom>
                        <a:solidFill>
                          <a:srgbClr val="C0C0C0">
                            <a:alpha val="39999"/>
                          </a:srgbClr>
                        </a:solidFill>
                        <a:ln w="9525">
                          <a:solidFill>
                            <a:srgbClr val="C0C0C0"/>
                          </a:solidFill>
                        </a:ln>
                      </wps:spPr>
                      <wps:txbx>
                        <w:txbxContent>
                          <w:p>
                            <w:pPr>
                              <w:pStyle w:val="0"/>
                              <w:rPr>
                                <w:rFonts w:hint="default" w:ascii="ＭＳ ゴシック" w:hAnsi="ＭＳ ゴシック" w:eastAsia="ＭＳ ゴシック"/>
                                <w:sz w:val="28"/>
                              </w:rPr>
                            </w:pPr>
                            <w:r>
                              <w:rPr>
                                <w:rFonts w:hint="eastAsia" w:ascii="ＭＳ ゴシック" w:hAnsi="ＭＳ ゴシック" w:eastAsia="ＭＳ ゴシック"/>
                                <w:sz w:val="28"/>
                              </w:rPr>
                              <w:t>Ⅰ　計画の概要</w:t>
                            </w:r>
                          </w:p>
                        </w:txbxContent>
                      </wps:txbx>
                      <wps:bodyPr vertOverflow="overflow" horzOverflow="overflow" lIns="74295" tIns="8890" rIns="74295" bIns="8890" upright="1"/>
                    </wps:wsp>
                  </a:graphicData>
                </a:graphic>
              </wp:anchor>
            </w:drawing>
          </mc:Choice>
          <mc:Fallback>
            <w:pict>
              <v:roundrect id="オブジェクト 0" style="mso-wrap-distance-right:9pt;mso-wrap-distance-bottom:0pt;margin-top:-42.8pt;mso-position-vertical-relative:text;mso-position-horizontal-relative:text;position:absolute;height:26.45pt;mso-wrap-distance-top:0pt;width:481.9pt;mso-wrap-distance-left:9pt;margin-left:0pt;z-index:13;" o:spid="_x0000_s1030" o:allowincell="t" o:allowoverlap="t" filled="t" fillcolor="#c0c0c0" stroked="t" strokecolor="#c0c0c0" strokeweight="0.75pt" o:spt="2" arcsize="10941f">
                <v:fill opacity="26213f"/>
                <v:stroke filltype="solid"/>
                <v:textbox style="layout-flow:horizontal;" inset="2.0637499999999998mm,0.24694444444444438mm,2.0637499999999998mm,0.24694444444444438mm">
                  <w:txbxContent>
                    <w:p>
                      <w:pPr>
                        <w:pStyle w:val="0"/>
                        <w:rPr>
                          <w:rFonts w:hint="default" w:ascii="ＭＳ ゴシック" w:hAnsi="ＭＳ ゴシック" w:eastAsia="ＭＳ ゴシック"/>
                          <w:sz w:val="28"/>
                        </w:rPr>
                      </w:pPr>
                      <w:r>
                        <w:rPr>
                          <w:rFonts w:hint="eastAsia" w:ascii="ＭＳ ゴシック" w:hAnsi="ＭＳ ゴシック" w:eastAsia="ＭＳ ゴシック"/>
                          <w:sz w:val="28"/>
                        </w:rPr>
                        <w:t>Ⅰ　計画の概要</w:t>
                      </w:r>
                    </w:p>
                  </w:txbxContent>
                </v:textbox>
                <v:imagedata o:title=""/>
                <w10:wrap type="none" anchorx="text" anchory="text"/>
              </v:roundrect>
            </w:pict>
          </mc:Fallback>
        </mc:AlternateContent>
      </w:r>
      <w:r>
        <w:rPr>
          <w:rFonts w:hint="eastAsia" w:ascii="ＭＳ ゴシック" w:hAnsi="ＭＳ ゴシック" w:eastAsia="ＭＳ ゴシック"/>
          <w:sz w:val="26"/>
          <w:u w:val="single" w:color="auto"/>
        </w:rPr>
        <w:t>１　計画策定の趣旨</w:t>
      </w:r>
    </w:p>
    <w:p>
      <w:pPr>
        <w:pStyle w:val="0"/>
        <w:widowControl w:val="1"/>
        <w:kinsoku w:val="0"/>
        <w:autoSpaceDE w:val="0"/>
        <w:autoSpaceDN w:val="0"/>
        <w:jc w:val="left"/>
        <w:rPr>
          <w:rFonts w:hint="default" w:ascii="ＭＳ ゴシック" w:hAnsi="ＭＳ ゴシック" w:eastAsia="ＭＳ ゴシック"/>
        </w:rPr>
      </w:pPr>
      <w:r>
        <w:rPr>
          <w:rFonts w:hint="eastAsia" w:ascii="ＭＳ ゴシック" w:hAnsi="ＭＳ ゴシック" w:eastAsia="ＭＳ ゴシック"/>
        </w:rPr>
        <w:t>＜本県の障害者施策関連計画策定の経緯＞</w:t>
      </w:r>
    </w:p>
    <w:p>
      <w:pPr>
        <w:pStyle w:val="0"/>
        <w:numPr>
          <w:ilvl w:val="0"/>
          <w:numId w:val="1"/>
        </w:numPr>
        <w:autoSpaceDE w:val="0"/>
        <w:autoSpaceDN w:val="0"/>
        <w:adjustRightInd w:val="0"/>
        <w:spacing w:line="360" w:lineRule="exact"/>
        <w:jc w:val="left"/>
        <w:rPr>
          <w:rFonts w:hint="default"/>
          <w:b w:val="1"/>
        </w:rPr>
      </w:pPr>
      <w:r>
        <w:rPr>
          <w:rFonts w:hint="eastAsia"/>
          <w:kern w:val="0"/>
        </w:rPr>
        <w:t>本県では､</w:t>
      </w:r>
      <w:r>
        <w:rPr>
          <w:rFonts w:hint="eastAsia"/>
          <w:kern w:val="0"/>
        </w:rPr>
        <w:t>1993</w:t>
      </w:r>
      <w:r>
        <w:rPr>
          <w:rFonts w:hint="eastAsia"/>
          <w:kern w:val="0"/>
        </w:rPr>
        <w:t>年５月に、</w:t>
      </w:r>
      <w:r>
        <w:rPr>
          <w:rFonts w:hint="eastAsia"/>
          <w:kern w:val="0"/>
        </w:rPr>
        <w:t>2002</w:t>
      </w:r>
      <w:r>
        <w:rPr>
          <w:rFonts w:hint="eastAsia"/>
          <w:kern w:val="0"/>
        </w:rPr>
        <w:t>年度までの障害者施策の基本指針である「静岡県障害者対策行動計画」（ふじのくに障害者プラン）を策定するとともに、国の「障害者プラン」（ノーマライゼーション７か年戦略）の策定を受けて､</w:t>
      </w:r>
      <w:r>
        <w:rPr>
          <w:rFonts w:hint="eastAsia"/>
          <w:kern w:val="0"/>
        </w:rPr>
        <w:t>1997</w:t>
      </w:r>
      <w:r>
        <w:rPr>
          <w:rFonts w:hint="eastAsia"/>
          <w:kern w:val="0"/>
        </w:rPr>
        <w:t>年３月には、県施策を具体的に推進するため、数値目標等を盛り込んだ静岡県障害者対策行動計画実施計画を策定しました。</w:t>
      </w:r>
    </w:p>
    <w:p>
      <w:pPr>
        <w:pStyle w:val="0"/>
        <w:autoSpaceDE w:val="0"/>
        <w:autoSpaceDN w:val="0"/>
        <w:adjustRightInd w:val="0"/>
        <w:spacing w:line="360" w:lineRule="exact"/>
        <w:ind w:left="576"/>
        <w:jc w:val="left"/>
        <w:rPr>
          <w:rFonts w:hint="default"/>
          <w:b w:val="1"/>
        </w:rPr>
      </w:pPr>
    </w:p>
    <w:p>
      <w:pPr>
        <w:pStyle w:val="0"/>
        <w:numPr>
          <w:ilvl w:val="0"/>
          <w:numId w:val="1"/>
        </w:numPr>
        <w:autoSpaceDE w:val="0"/>
        <w:autoSpaceDN w:val="0"/>
        <w:adjustRightInd w:val="0"/>
        <w:spacing w:line="360" w:lineRule="exact"/>
        <w:jc w:val="left"/>
        <w:rPr>
          <w:rFonts w:hint="default"/>
        </w:rPr>
      </w:pPr>
      <w:r>
        <w:rPr>
          <w:rFonts w:hint="eastAsia"/>
          <w:kern w:val="0"/>
        </w:rPr>
        <w:t>2003</w:t>
      </w:r>
      <w:r>
        <w:rPr>
          <w:rFonts w:hint="eastAsia"/>
          <w:kern w:val="0"/>
        </w:rPr>
        <w:t>年３月には、</w:t>
      </w:r>
      <w:r>
        <w:rPr>
          <w:rFonts w:hint="eastAsia"/>
          <w:kern w:val="0"/>
        </w:rPr>
        <w:t>2006</w:t>
      </w:r>
      <w:r>
        <w:rPr>
          <w:rFonts w:hint="eastAsia"/>
          <w:kern w:val="0"/>
        </w:rPr>
        <w:t>年度末までの「第１次静岡県障害者計画」（ふじのくに障害者プラン</w:t>
      </w:r>
      <w:r>
        <w:rPr>
          <w:rFonts w:hint="eastAsia"/>
          <w:kern w:val="0"/>
        </w:rPr>
        <w:t>21</w:t>
      </w:r>
      <w:r>
        <w:rPr>
          <w:rFonts w:hint="eastAsia"/>
          <w:kern w:val="0"/>
        </w:rPr>
        <w:t>）を策定しました。</w:t>
      </w:r>
    </w:p>
    <w:p>
      <w:pPr>
        <w:pStyle w:val="0"/>
        <w:autoSpaceDE w:val="0"/>
        <w:autoSpaceDN w:val="0"/>
        <w:adjustRightInd w:val="0"/>
        <w:spacing w:line="360" w:lineRule="exact"/>
        <w:ind w:left="576"/>
        <w:jc w:val="left"/>
        <w:rPr>
          <w:rFonts w:hint="default"/>
        </w:rPr>
      </w:pPr>
    </w:p>
    <w:p>
      <w:pPr>
        <w:pStyle w:val="0"/>
        <w:numPr>
          <w:ilvl w:val="0"/>
          <w:numId w:val="1"/>
        </w:numPr>
        <w:autoSpaceDE w:val="0"/>
        <w:autoSpaceDN w:val="0"/>
        <w:adjustRightInd w:val="0"/>
        <w:spacing w:line="360" w:lineRule="exact"/>
        <w:jc w:val="left"/>
        <w:rPr>
          <w:rFonts w:hint="default"/>
          <w:color w:val="auto"/>
          <w:u w:val="none" w:color="auto"/>
        </w:rPr>
      </w:pPr>
      <w:r>
        <w:rPr>
          <w:rFonts w:hint="eastAsia"/>
          <w:kern w:val="0"/>
        </w:rPr>
        <w:t>また、</w:t>
      </w:r>
      <w:r>
        <w:rPr>
          <w:rFonts w:hint="eastAsia"/>
          <w:kern w:val="0"/>
        </w:rPr>
        <w:t>2007</w:t>
      </w:r>
      <w:r>
        <w:rPr>
          <w:rFonts w:hint="eastAsia"/>
          <w:kern w:val="0"/>
        </w:rPr>
        <w:t>年３月には、障害者基本法に基づく</w:t>
      </w:r>
      <w:r>
        <w:rPr>
          <w:rFonts w:hint="eastAsia"/>
          <w:kern w:val="0"/>
        </w:rPr>
        <w:t>2011</w:t>
      </w:r>
      <w:r>
        <w:rPr>
          <w:rFonts w:hint="eastAsia"/>
          <w:kern w:val="0"/>
        </w:rPr>
        <w:t>年度までの「第２次静岡県障害者計画」と障害者自立支援法に基づく</w:t>
      </w:r>
      <w:r>
        <w:rPr>
          <w:rFonts w:hint="eastAsia"/>
          <w:kern w:val="0"/>
        </w:rPr>
        <w:t>2008</w:t>
      </w:r>
      <w:r>
        <w:rPr>
          <w:rFonts w:hint="eastAsia"/>
          <w:kern w:val="0"/>
        </w:rPr>
        <w:t>年度までの「第１期静岡県障害福祉計画」を一体のものとして、「ふじのくに障害者プラン</w:t>
      </w:r>
      <w:r>
        <w:rPr>
          <w:rFonts w:hint="eastAsia"/>
          <w:kern w:val="0"/>
        </w:rPr>
        <w:t>21</w:t>
      </w:r>
      <w:r>
        <w:rPr>
          <w:rFonts w:hint="eastAsia"/>
          <w:kern w:val="0"/>
        </w:rPr>
        <w:t>」を策定</w:t>
      </w:r>
      <w:r>
        <w:rPr>
          <w:rFonts w:hint="eastAsia"/>
          <w:color w:val="auto"/>
          <w:kern w:val="0"/>
          <w:u w:val="none" w:color="auto"/>
        </w:rPr>
        <w:t>しました。更に、</w:t>
      </w:r>
      <w:r>
        <w:rPr>
          <w:rFonts w:hint="eastAsia"/>
          <w:color w:val="auto"/>
          <w:kern w:val="0"/>
          <w:u w:val="none" w:color="auto"/>
        </w:rPr>
        <w:t>2013</w:t>
      </w:r>
      <w:r>
        <w:rPr>
          <w:rFonts w:hint="eastAsia"/>
          <w:color w:val="auto"/>
          <w:kern w:val="0"/>
          <w:u w:val="none" w:color="auto"/>
        </w:rPr>
        <w:t>年には「ふじのくに障害者しあわせプラン」に改称し、障害者施策の総合的な推進に努めてきました。</w:t>
      </w:r>
    </w:p>
    <w:p>
      <w:pPr>
        <w:pStyle w:val="0"/>
        <w:autoSpaceDE w:val="0"/>
        <w:autoSpaceDN w:val="0"/>
        <w:adjustRightInd w:val="0"/>
        <w:spacing w:line="360" w:lineRule="exact"/>
        <w:ind w:left="576"/>
        <w:jc w:val="left"/>
        <w:rPr>
          <w:rFonts w:hint="default"/>
          <w:color w:val="auto"/>
          <w:u w:val="none" w:color="auto"/>
        </w:rPr>
      </w:pPr>
    </w:p>
    <w:p>
      <w:pPr>
        <w:pStyle w:val="0"/>
        <w:numPr>
          <w:ilvl w:val="0"/>
          <w:numId w:val="1"/>
        </w:numPr>
        <w:autoSpaceDE w:val="0"/>
        <w:autoSpaceDN w:val="0"/>
        <w:adjustRightInd w:val="0"/>
        <w:spacing w:line="360" w:lineRule="exact"/>
        <w:jc w:val="left"/>
        <w:rPr>
          <w:rFonts w:hint="default"/>
          <w:color w:val="auto"/>
          <w:u w:val="none" w:color="auto"/>
        </w:rPr>
      </w:pPr>
      <w:r>
        <w:rPr>
          <w:rFonts w:hint="eastAsia"/>
          <w:color w:val="auto"/>
          <w:kern w:val="0"/>
          <w:u w:val="none" w:color="auto"/>
        </w:rPr>
        <w:t>その後、障害者計画については、</w:t>
      </w:r>
      <w:r>
        <w:rPr>
          <w:rFonts w:hint="eastAsia"/>
          <w:color w:val="auto"/>
          <w:kern w:val="0"/>
          <w:u w:val="none" w:color="auto"/>
        </w:rPr>
        <w:t>2013</w:t>
      </w:r>
      <w:r>
        <w:rPr>
          <w:rFonts w:hint="eastAsia"/>
          <w:color w:val="auto"/>
          <w:kern w:val="0"/>
          <w:u w:val="none" w:color="auto"/>
        </w:rPr>
        <w:t>年７月には</w:t>
      </w:r>
      <w:r>
        <w:rPr>
          <w:rFonts w:hint="eastAsia"/>
          <w:color w:val="auto"/>
          <w:kern w:val="0"/>
          <w:u w:val="none" w:color="auto"/>
        </w:rPr>
        <w:t>2017</w:t>
      </w:r>
      <w:r>
        <w:rPr>
          <w:rFonts w:hint="eastAsia"/>
          <w:color w:val="auto"/>
          <w:kern w:val="0"/>
          <w:u w:val="none" w:color="auto"/>
        </w:rPr>
        <w:t>年度までに「第３次静岡県障害者計画」を、</w:t>
      </w:r>
      <w:r>
        <w:rPr>
          <w:rFonts w:hint="eastAsia"/>
          <w:color w:val="auto"/>
          <w:kern w:val="0"/>
          <w:u w:val="none" w:color="auto"/>
        </w:rPr>
        <w:t>2018</w:t>
      </w:r>
      <w:r>
        <w:rPr>
          <w:rFonts w:hint="eastAsia"/>
          <w:color w:val="auto"/>
          <w:kern w:val="0"/>
          <w:u w:val="none" w:color="auto"/>
        </w:rPr>
        <w:t>年３月には</w:t>
      </w:r>
      <w:r>
        <w:rPr>
          <w:rFonts w:hint="eastAsia"/>
          <w:color w:val="auto"/>
          <w:kern w:val="0"/>
          <w:u w:val="none" w:color="auto"/>
        </w:rPr>
        <w:t>2021</w:t>
      </w:r>
      <w:r>
        <w:rPr>
          <w:rFonts w:hint="eastAsia"/>
          <w:color w:val="auto"/>
          <w:kern w:val="0"/>
          <w:u w:val="none" w:color="auto"/>
        </w:rPr>
        <w:t>年度までの「第４次静岡県障害者計画」を策定しました。</w:t>
      </w:r>
    </w:p>
    <w:p>
      <w:pPr>
        <w:pStyle w:val="0"/>
        <w:autoSpaceDE w:val="0"/>
        <w:autoSpaceDN w:val="0"/>
        <w:adjustRightInd w:val="0"/>
        <w:spacing w:line="360" w:lineRule="exact"/>
        <w:ind w:left="576"/>
        <w:jc w:val="left"/>
        <w:rPr>
          <w:rFonts w:hint="default"/>
          <w:color w:val="auto"/>
          <w:u w:val="none" w:color="auto"/>
        </w:rPr>
      </w:pPr>
    </w:p>
    <w:p>
      <w:pPr>
        <w:pStyle w:val="0"/>
        <w:numPr>
          <w:ilvl w:val="0"/>
          <w:numId w:val="1"/>
        </w:numPr>
        <w:autoSpaceDE w:val="0"/>
        <w:autoSpaceDN w:val="0"/>
        <w:adjustRightInd w:val="0"/>
        <w:spacing w:line="360" w:lineRule="exact"/>
        <w:jc w:val="left"/>
        <w:rPr>
          <w:rFonts w:hint="default"/>
        </w:rPr>
      </w:pPr>
      <w:r>
        <w:rPr>
          <w:rFonts w:hint="eastAsia"/>
          <w:color w:val="auto"/>
          <w:kern w:val="0"/>
          <w:u w:val="none" w:color="auto"/>
        </w:rPr>
        <w:t>また、障害福祉計画については、</w:t>
      </w:r>
      <w:r>
        <w:rPr>
          <w:rFonts w:hint="eastAsia"/>
          <w:kern w:val="0"/>
        </w:rPr>
        <w:t>３年ごとの見直しを行い、</w:t>
      </w:r>
      <w:r>
        <w:rPr>
          <w:rFonts w:hint="eastAsia"/>
          <w:kern w:val="0"/>
        </w:rPr>
        <w:t>2009</w:t>
      </w:r>
      <w:r>
        <w:rPr>
          <w:rFonts w:hint="eastAsia"/>
          <w:kern w:val="0"/>
        </w:rPr>
        <w:t>年７月には</w:t>
      </w:r>
      <w:r>
        <w:rPr>
          <w:rFonts w:hint="eastAsia"/>
          <w:kern w:val="0"/>
        </w:rPr>
        <w:t>2011</w:t>
      </w:r>
      <w:r>
        <w:rPr>
          <w:rFonts w:hint="eastAsia"/>
          <w:kern w:val="0"/>
        </w:rPr>
        <w:t>年度までの「第２期静岡県障害福祉計画」を、</w:t>
      </w:r>
      <w:r>
        <w:rPr>
          <w:rFonts w:hint="eastAsia"/>
          <w:kern w:val="0"/>
        </w:rPr>
        <w:t>2012</w:t>
      </w:r>
      <w:r>
        <w:rPr>
          <w:rFonts w:hint="eastAsia"/>
          <w:kern w:val="0"/>
        </w:rPr>
        <w:t>年８月には</w:t>
      </w:r>
      <w:r>
        <w:rPr>
          <w:rFonts w:hint="eastAsia"/>
          <w:kern w:val="0"/>
        </w:rPr>
        <w:t>2014</w:t>
      </w:r>
      <w:r>
        <w:rPr>
          <w:rFonts w:hint="eastAsia"/>
          <w:kern w:val="0"/>
        </w:rPr>
        <w:t>年度までの「第３期静岡県障害福祉計画」を、</w:t>
      </w:r>
      <w:r>
        <w:rPr>
          <w:rFonts w:hint="eastAsia"/>
          <w:kern w:val="0"/>
        </w:rPr>
        <w:t>2015</w:t>
      </w:r>
      <w:r>
        <w:rPr>
          <w:rFonts w:hint="eastAsia"/>
          <w:kern w:val="0"/>
        </w:rPr>
        <w:t>年３月には</w:t>
      </w:r>
      <w:r>
        <w:rPr>
          <w:rFonts w:hint="eastAsia"/>
          <w:kern w:val="0"/>
        </w:rPr>
        <w:t>2017</w:t>
      </w:r>
      <w:r>
        <w:rPr>
          <w:rFonts w:hint="eastAsia"/>
          <w:kern w:val="0"/>
        </w:rPr>
        <w:t>年度までの「第４期静岡県障害福祉計画」を、更に</w:t>
      </w:r>
      <w:r>
        <w:rPr>
          <w:rFonts w:hint="eastAsia"/>
          <w:kern w:val="0"/>
        </w:rPr>
        <w:t>2018</w:t>
      </w:r>
      <w:r>
        <w:rPr>
          <w:rFonts w:hint="eastAsia"/>
          <w:kern w:val="0"/>
        </w:rPr>
        <w:t>年３月には</w:t>
      </w:r>
      <w:r>
        <w:rPr>
          <w:rFonts w:hint="eastAsia"/>
          <w:kern w:val="0"/>
        </w:rPr>
        <w:t>2021</w:t>
      </w:r>
      <w:r>
        <w:rPr>
          <w:rFonts w:hint="eastAsia"/>
          <w:kern w:val="0"/>
        </w:rPr>
        <w:t>年度までの「第５期静岡県障害福祉計画」を策定し、障害のある人が住み慣れた地域で豊かに安心して暮らすために障害福祉サービス等の充実に努めてきました。</w:t>
      </w:r>
    </w:p>
    <w:p>
      <w:pPr>
        <w:pStyle w:val="0"/>
        <w:widowControl w:val="1"/>
        <w:kinsoku w:val="0"/>
        <w:autoSpaceDE w:val="0"/>
        <w:autoSpaceDN w:val="0"/>
        <w:jc w:val="left"/>
        <w:rPr>
          <w:rFonts w:hint="default" w:ascii="ＭＳ ゴシック" w:hAnsi="ＭＳ ゴシック" w:eastAsia="ＭＳ ゴシック"/>
        </w:rPr>
      </w:pPr>
    </w:p>
    <w:p>
      <w:pPr>
        <w:pStyle w:val="0"/>
        <w:widowControl w:val="1"/>
        <w:kinsoku w:val="0"/>
        <w:autoSpaceDE w:val="0"/>
        <w:autoSpaceDN w:val="0"/>
        <w:jc w:val="left"/>
        <w:rPr>
          <w:rFonts w:hint="default"/>
          <w:color w:val="auto"/>
          <w:u w:val="none" w:color="auto"/>
        </w:rPr>
      </w:pPr>
      <w:r>
        <w:rPr>
          <w:rFonts w:hint="eastAsia" w:ascii="ＭＳ ゴシック" w:hAnsi="ＭＳ ゴシック" w:eastAsia="ＭＳ ゴシック"/>
          <w:color w:val="auto"/>
          <w:u w:val="none" w:color="auto"/>
        </w:rPr>
        <w:t>＜静岡県障害者計画策定の背景＞</w:t>
      </w:r>
    </w:p>
    <w:p>
      <w:pPr>
        <w:pStyle w:val="0"/>
        <w:numPr>
          <w:ilvl w:val="0"/>
          <w:numId w:val="1"/>
        </w:numPr>
        <w:autoSpaceDE w:val="0"/>
        <w:autoSpaceDN w:val="0"/>
        <w:adjustRightInd w:val="0"/>
        <w:spacing w:line="360" w:lineRule="exact"/>
        <w:jc w:val="left"/>
        <w:rPr>
          <w:rFonts w:hint="default"/>
        </w:rPr>
      </w:pPr>
      <w:r>
        <w:rPr>
          <w:rFonts w:hint="eastAsia"/>
          <w:color w:val="auto"/>
          <w:u w:val="none" w:color="auto"/>
        </w:rPr>
        <w:t>2011</w:t>
      </w:r>
      <w:r>
        <w:rPr>
          <w:rFonts w:hint="eastAsia"/>
          <w:color w:val="auto"/>
          <w:u w:val="none" w:color="auto"/>
        </w:rPr>
        <w:t>年に障</w:t>
      </w:r>
      <w:r>
        <w:rPr>
          <w:rFonts w:hint="eastAsia"/>
        </w:rPr>
        <w:t>害者基本法が抜本的に改正され「障害者」の定義が見直されるとともに、</w:t>
      </w:r>
      <w:r>
        <w:rPr>
          <w:rFonts w:hint="eastAsia"/>
        </w:rPr>
        <w:t>2013</w:t>
      </w:r>
      <w:r>
        <w:rPr>
          <w:rFonts w:hint="eastAsia"/>
        </w:rPr>
        <w:t>年度からは障害者自立支援法が「障害者の日常生活及び社会生活を総合的に支援するための法律」（以下「障害者総合支援法」という。）に改正されました。</w:t>
      </w:r>
    </w:p>
    <w:p>
      <w:pPr>
        <w:pStyle w:val="0"/>
        <w:autoSpaceDE w:val="0"/>
        <w:autoSpaceDN w:val="0"/>
        <w:adjustRightInd w:val="0"/>
        <w:spacing w:line="360" w:lineRule="exact"/>
        <w:jc w:val="left"/>
        <w:rPr>
          <w:rFonts w:hint="default"/>
        </w:rPr>
      </w:pPr>
    </w:p>
    <w:p>
      <w:pPr>
        <w:pStyle w:val="0"/>
        <w:numPr>
          <w:ilvl w:val="0"/>
          <w:numId w:val="1"/>
        </w:numPr>
        <w:autoSpaceDE w:val="0"/>
        <w:autoSpaceDN w:val="0"/>
        <w:adjustRightInd w:val="0"/>
        <w:spacing w:line="360" w:lineRule="exact"/>
        <w:jc w:val="left"/>
        <w:rPr>
          <w:rFonts w:hint="default"/>
        </w:rPr>
      </w:pPr>
      <w:r>
        <w:rPr>
          <w:rFonts w:hint="eastAsia"/>
        </w:rPr>
        <w:t>2014</w:t>
      </w:r>
      <w:r>
        <w:rPr>
          <w:rFonts w:hint="eastAsia"/>
        </w:rPr>
        <w:t>年１月には障害者の権利に関する条約（以下「障害者権利条約」という。）に批准し、</w:t>
      </w:r>
      <w:r>
        <w:rPr>
          <w:rFonts w:hint="eastAsia"/>
        </w:rPr>
        <w:t>2016</w:t>
      </w:r>
      <w:r>
        <w:rPr>
          <w:rFonts w:hint="eastAsia"/>
        </w:rPr>
        <w:t>年からは、障害を理由とする差別の解消の推進に関する法律（以下「障害者差別解消法」という。）が施行されるなど、諸制度の改革が急速に進んでいることから、これらの趣旨を踏まえ、県においては、</w:t>
      </w:r>
      <w:r>
        <w:rPr>
          <w:rFonts w:hint="eastAsia"/>
        </w:rPr>
        <w:t>2017</w:t>
      </w:r>
      <w:r>
        <w:rPr>
          <w:rFonts w:hint="eastAsia"/>
        </w:rPr>
        <w:t>年３月には、障害のある人に対する差別の解消に積極的に取り組むため、「静岡県障害を理由とする差別の解消の推進に関する条例」</w:t>
      </w:r>
      <w:r>
        <w:rPr>
          <w:rFonts w:hint="eastAsia"/>
          <w:vertAlign w:val="superscript"/>
        </w:rPr>
        <w:t>＊</w:t>
      </w:r>
      <w:r>
        <w:rPr>
          <w:rFonts w:hint="eastAsia"/>
        </w:rPr>
        <w:t>（以下「障害者差別解消条例」という。）を制定、</w:t>
      </w:r>
      <w:r>
        <w:rPr>
          <w:rFonts w:hint="eastAsia"/>
        </w:rPr>
        <w:t>2017</w:t>
      </w:r>
      <w:r>
        <w:rPr>
          <w:rFonts w:hint="eastAsia"/>
        </w:rPr>
        <w:t>年４月から施行し、合理的配慮</w:t>
      </w:r>
      <w:r>
        <w:rPr>
          <w:rFonts w:hint="eastAsia"/>
          <w:kern w:val="0"/>
          <w:vertAlign w:val="superscript"/>
        </w:rPr>
        <w:t>＊</w:t>
      </w:r>
      <w:r>
        <w:rPr>
          <w:rFonts w:hint="eastAsia"/>
        </w:rPr>
        <w:t>の提供の徹底など、差別解消についての取組を推進しています。</w:t>
      </w:r>
    </w:p>
    <w:p>
      <w:pPr>
        <w:pStyle w:val="0"/>
        <w:autoSpaceDE w:val="0"/>
        <w:autoSpaceDN w:val="0"/>
        <w:adjustRightInd w:val="0"/>
        <w:spacing w:line="360" w:lineRule="exact"/>
        <w:ind w:left="576"/>
        <w:jc w:val="left"/>
        <w:rPr>
          <w:rFonts w:hint="default"/>
        </w:rPr>
      </w:pPr>
    </w:p>
    <w:p>
      <w:pPr>
        <w:pStyle w:val="0"/>
        <w:numPr>
          <w:ilvl w:val="0"/>
          <w:numId w:val="1"/>
        </w:numPr>
        <w:autoSpaceDE w:val="0"/>
        <w:autoSpaceDN w:val="0"/>
        <w:adjustRightInd w:val="0"/>
        <w:spacing w:line="360" w:lineRule="exact"/>
        <w:jc w:val="left"/>
        <w:rPr>
          <w:rFonts w:hint="default"/>
        </w:rPr>
      </w:pPr>
      <w:r>
        <w:rPr>
          <w:rFonts w:hint="eastAsia"/>
        </w:rPr>
        <w:t>また、①地域生活への移行を希望する障害のある人や、一般就労に移行する障害のある人の数が増加していることを踏まえた、自立生活援助や就労定着支援といった新たな障害福祉サービスの創設、②障害福祉サービス利用者の高齢化を踏まえた、高齢の障害のある人の介護保険サービスの円滑な利用の支援、③医療的ケアを必要とする障害児等、障害児支援のニーズへの多様化へのきめ細かな対応等を内容とする改正障害者総合支援法が</w:t>
      </w:r>
      <w:r>
        <w:rPr>
          <w:rFonts w:hint="eastAsia"/>
        </w:rPr>
        <w:t>2016</w:t>
      </w:r>
      <w:r>
        <w:rPr>
          <w:rFonts w:hint="eastAsia"/>
        </w:rPr>
        <w:t>年５月に成立し、</w:t>
      </w:r>
      <w:r>
        <w:rPr>
          <w:rFonts w:hint="eastAsia"/>
        </w:rPr>
        <w:t>2018</w:t>
      </w:r>
      <w:r>
        <w:rPr>
          <w:rFonts w:hint="eastAsia"/>
        </w:rPr>
        <w:t>年度から施</w:t>
      </w:r>
      <w:r>
        <w:rPr>
          <w:rFonts w:hint="eastAsia"/>
          <w:color w:val="auto"/>
          <w:u w:val="none" w:color="auto"/>
        </w:rPr>
        <w:t>行されました。</w:t>
      </w:r>
    </w:p>
    <w:p>
      <w:pPr>
        <w:pStyle w:val="0"/>
        <w:autoSpaceDE w:val="0"/>
        <w:autoSpaceDN w:val="0"/>
        <w:adjustRightInd w:val="0"/>
        <w:spacing w:line="360" w:lineRule="exact"/>
        <w:ind w:left="576"/>
        <w:jc w:val="left"/>
        <w:rPr>
          <w:rFonts w:hint="default"/>
        </w:rPr>
      </w:pPr>
    </w:p>
    <w:p>
      <w:pPr>
        <w:pStyle w:val="0"/>
        <w:numPr>
          <w:ilvl w:val="0"/>
          <w:numId w:val="1"/>
        </w:numPr>
        <w:autoSpaceDE w:val="0"/>
        <w:autoSpaceDN w:val="0"/>
        <w:adjustRightInd w:val="0"/>
        <w:spacing w:line="360" w:lineRule="exact"/>
        <w:jc w:val="left"/>
        <w:rPr>
          <w:rFonts w:hint="default"/>
        </w:rPr>
      </w:pPr>
      <w:r>
        <w:rPr>
          <w:rFonts w:hint="eastAsia"/>
        </w:rPr>
        <w:t>2016</w:t>
      </w:r>
      <w:r>
        <w:rPr>
          <w:rFonts w:hint="eastAsia"/>
        </w:rPr>
        <w:t>年７月、神奈川県相模原市の障害者支援施設「津久井やまゆり園」で、施設の元職員が、多数の入所者等を殺傷するという事件が発生しました。このような痛ましい事件が二度と起こることがないよう、共生社会の実現を目指す強い姿勢を明確に示しつつ、障害及び障害のある人に対する更なる理解を深め、あらゆる機会を活用して、共生社会の実現に向けた様々な啓発等の取組を着実に展開していくことが必要です。</w:t>
      </w:r>
    </w:p>
    <w:p>
      <w:pPr>
        <w:pStyle w:val="0"/>
        <w:autoSpaceDE w:val="0"/>
        <w:autoSpaceDN w:val="0"/>
        <w:adjustRightInd w:val="0"/>
        <w:spacing w:line="360" w:lineRule="exact"/>
        <w:ind w:left="576"/>
        <w:jc w:val="left"/>
        <w:rPr>
          <w:rFonts w:hint="default"/>
          <w:color w:val="auto"/>
        </w:rPr>
      </w:pPr>
    </w:p>
    <w:p>
      <w:pPr>
        <w:pStyle w:val="0"/>
        <w:autoSpaceDE w:val="0"/>
        <w:autoSpaceDN w:val="0"/>
        <w:adjustRightInd w:val="0"/>
        <w:spacing w:line="360" w:lineRule="exact"/>
        <w:jc w:val="left"/>
        <w:rPr>
          <w:rFonts w:hint="default"/>
        </w:rPr>
      </w:pPr>
      <w:r>
        <w:rPr>
          <w:rFonts w:hint="eastAsia" w:ascii="ＭＳ ゴシック" w:hAnsi="ＭＳ ゴシック" w:eastAsia="ＭＳ ゴシック"/>
          <w:color w:val="auto"/>
        </w:rPr>
        <w:t>＜第５次静岡県障害者計画策定の趣旨＞</w:t>
      </w:r>
    </w:p>
    <w:p>
      <w:pPr>
        <w:pStyle w:val="0"/>
        <w:numPr>
          <w:ilvl w:val="0"/>
          <w:numId w:val="1"/>
        </w:numPr>
        <w:autoSpaceDE w:val="0"/>
        <w:autoSpaceDN w:val="0"/>
        <w:adjustRightInd w:val="0"/>
        <w:spacing w:line="360" w:lineRule="exact"/>
        <w:jc w:val="left"/>
        <w:rPr>
          <w:rFonts w:hint="default"/>
        </w:rPr>
      </w:pPr>
      <w:r>
        <w:rPr>
          <w:rFonts w:hint="eastAsia"/>
        </w:rPr>
        <w:t>これまで本県では、障害のある人が住み慣れた地域で豊かに安心して暮らすことのできる「魅力ある“ふじのくに”の実現」を目指して、「障害者働く幸せ創出センター」</w:t>
      </w:r>
      <w:r>
        <w:rPr>
          <w:rFonts w:hint="eastAsia"/>
          <w:spacing w:val="-4"/>
          <w:kern w:val="0"/>
          <w:vertAlign w:val="superscript"/>
        </w:rPr>
        <w:t>＊</w:t>
      </w:r>
      <w:r>
        <w:rPr>
          <w:rFonts w:hint="eastAsia"/>
        </w:rPr>
        <w:t>を拠点に、障害のある人が働く幸せを感じられるように就労支援を行うなど、障害の特性や程度、ライフステージに応じた相談体制や支援体制の確保に努めてきました。</w:t>
      </w:r>
    </w:p>
    <w:p>
      <w:pPr>
        <w:pStyle w:val="0"/>
        <w:autoSpaceDE w:val="0"/>
        <w:autoSpaceDN w:val="0"/>
        <w:adjustRightInd w:val="0"/>
        <w:spacing w:line="360" w:lineRule="exact"/>
        <w:ind w:left="576"/>
        <w:jc w:val="left"/>
        <w:rPr>
          <w:rFonts w:hint="default"/>
        </w:rPr>
      </w:pPr>
    </w:p>
    <w:p>
      <w:pPr>
        <w:pStyle w:val="0"/>
        <w:numPr>
          <w:ilvl w:val="0"/>
          <w:numId w:val="1"/>
        </w:numPr>
        <w:autoSpaceDE w:val="0"/>
        <w:autoSpaceDN w:val="0"/>
        <w:adjustRightInd w:val="0"/>
        <w:spacing w:line="360" w:lineRule="exact"/>
        <w:jc w:val="left"/>
        <w:rPr>
          <w:rFonts w:hint="default"/>
        </w:rPr>
      </w:pPr>
      <w:r>
        <w:rPr>
          <w:rFonts w:hint="eastAsia"/>
        </w:rPr>
        <w:t>また、地域においてきめ細かな支援を受けられるように福祉サービスを拡充し、垣根のない福祉を目指す「ふじのくに型福祉サービス」</w:t>
      </w:r>
      <w:r>
        <w:rPr>
          <w:rFonts w:hint="eastAsia"/>
          <w:spacing w:val="-4"/>
          <w:kern w:val="0"/>
          <w:vertAlign w:val="superscript"/>
        </w:rPr>
        <w:t>＊</w:t>
      </w:r>
      <w:r>
        <w:rPr>
          <w:rFonts w:hint="eastAsia"/>
        </w:rPr>
        <w:t>の推進を図るなど、障害のある人の自立と社会参加に向けた支援を充実するとともに、文化や芸術、スポーツを通じて障害のある人の社会参加を進め、障害のある人への理解を深める施策も講じてきました。</w:t>
      </w:r>
    </w:p>
    <w:p>
      <w:pPr>
        <w:pStyle w:val="0"/>
        <w:autoSpaceDE w:val="0"/>
        <w:autoSpaceDN w:val="0"/>
        <w:adjustRightInd w:val="0"/>
        <w:spacing w:line="360" w:lineRule="exact"/>
        <w:ind w:left="576"/>
        <w:jc w:val="left"/>
        <w:rPr>
          <w:rFonts w:hint="default"/>
        </w:rPr>
      </w:pPr>
    </w:p>
    <w:p>
      <w:pPr>
        <w:pStyle w:val="0"/>
        <w:numPr>
          <w:ilvl w:val="0"/>
          <w:numId w:val="1"/>
        </w:numPr>
        <w:autoSpaceDE w:val="0"/>
        <w:autoSpaceDN w:val="0"/>
        <w:adjustRightInd w:val="0"/>
        <w:spacing w:line="360" w:lineRule="exact"/>
        <w:jc w:val="left"/>
        <w:rPr>
          <w:rFonts w:hint="default"/>
        </w:rPr>
      </w:pPr>
      <w:r>
        <w:rPr>
          <w:rFonts w:hint="eastAsia"/>
        </w:rPr>
        <w:t>加えて、全国で初めてユニバーサルデザイン</w:t>
      </w:r>
      <w:r>
        <w:rPr>
          <w:rFonts w:hint="eastAsia"/>
          <w:spacing w:val="-4"/>
          <w:kern w:val="0"/>
          <w:vertAlign w:val="superscript"/>
        </w:rPr>
        <w:t>＊</w:t>
      </w:r>
      <w:r>
        <w:rPr>
          <w:rFonts w:hint="eastAsia"/>
        </w:rPr>
        <w:t>の理念を県政全般に導入し、その推進に取り組むとともに、地震対策推進条例に基づき、障害のある人を含めた社会的弱者の視点等に立った防災対策に取り組むなどの障害のある人への先進的な施策を展開してきました。</w:t>
      </w:r>
    </w:p>
    <w:p>
      <w:pPr>
        <w:pStyle w:val="0"/>
        <w:autoSpaceDE w:val="0"/>
        <w:autoSpaceDN w:val="0"/>
        <w:adjustRightInd w:val="0"/>
        <w:spacing w:line="360" w:lineRule="exact"/>
        <w:ind w:left="576"/>
        <w:jc w:val="left"/>
        <w:rPr>
          <w:rFonts w:hint="default"/>
        </w:rPr>
      </w:pPr>
    </w:p>
    <w:p>
      <w:pPr>
        <w:pStyle w:val="0"/>
        <w:numPr>
          <w:ilvl w:val="0"/>
          <w:numId w:val="1"/>
        </w:numPr>
        <w:autoSpaceDE w:val="0"/>
        <w:autoSpaceDN w:val="0"/>
        <w:adjustRightInd w:val="0"/>
        <w:spacing w:line="360" w:lineRule="exact"/>
        <w:jc w:val="left"/>
        <w:rPr>
          <w:rFonts w:hint="default"/>
        </w:rPr>
      </w:pPr>
      <w:r>
        <w:rPr>
          <w:rFonts w:hint="eastAsia"/>
        </w:rPr>
        <w:t>しかしながら、障害のある人の社会参加が進む中にあっても、今なお障害のある人が、日常生活や社会生活の様々な場において、障害を理由とする差別を受け、事物、制度、慣行、観念等の社会的障壁によって、暮らしにくさを感じている実態があります。</w:t>
      </w:r>
    </w:p>
    <w:p>
      <w:pPr>
        <w:pStyle w:val="0"/>
        <w:autoSpaceDE w:val="0"/>
        <w:autoSpaceDN w:val="0"/>
        <w:adjustRightInd w:val="0"/>
        <w:spacing w:line="360" w:lineRule="exact"/>
        <w:jc w:val="left"/>
        <w:rPr>
          <w:rFonts w:hint="default"/>
        </w:rPr>
      </w:pPr>
    </w:p>
    <w:p>
      <w:pPr>
        <w:pStyle w:val="0"/>
        <w:numPr>
          <w:ilvl w:val="0"/>
          <w:numId w:val="1"/>
        </w:numPr>
        <w:autoSpaceDE w:val="0"/>
        <w:autoSpaceDN w:val="0"/>
        <w:adjustRightInd w:val="0"/>
        <w:spacing w:line="360" w:lineRule="exact"/>
        <w:jc w:val="left"/>
        <w:rPr>
          <w:rFonts w:hint="default"/>
        </w:rPr>
      </w:pPr>
      <w:r>
        <w:rPr>
          <w:rFonts w:hint="eastAsia"/>
        </w:rPr>
        <w:t>2021</w:t>
      </w:r>
      <w:r>
        <w:rPr>
          <w:rFonts w:hint="eastAsia"/>
        </w:rPr>
        <w:t>年５月、障害者差別解消法が改正され、法施行までに民間事業者に対して「合理的配慮</w:t>
      </w:r>
      <w:r>
        <w:rPr>
          <w:rFonts w:hint="eastAsia"/>
          <w:color w:val="000000" w:themeColor="text1"/>
          <w:spacing w:val="-4"/>
          <w:kern w:val="0"/>
          <w:vertAlign w:val="superscript"/>
        </w:rPr>
        <w:t>＊</w:t>
      </w:r>
      <w:r>
        <w:rPr>
          <w:rFonts w:hint="eastAsia"/>
        </w:rPr>
        <w:t>の提供」が義務化されることになりました。法改正の趣旨を踏まえ、今後、本県においても「静岡県障害を理由とする差別の解消の推進に関する条例」</w:t>
      </w:r>
      <w:r>
        <w:rPr>
          <w:rFonts w:hint="eastAsia"/>
          <w:spacing w:val="-4"/>
          <w:kern w:val="0"/>
          <w:vertAlign w:val="superscript"/>
        </w:rPr>
        <w:t>＊</w:t>
      </w:r>
      <w:r>
        <w:rPr>
          <w:rFonts w:hint="eastAsia"/>
        </w:rPr>
        <w:t>の改正を行います。</w:t>
      </w:r>
    </w:p>
    <w:p>
      <w:pPr>
        <w:pStyle w:val="0"/>
        <w:autoSpaceDE w:val="0"/>
        <w:autoSpaceDN w:val="0"/>
        <w:adjustRightInd w:val="0"/>
        <w:spacing w:line="360" w:lineRule="exact"/>
        <w:ind w:left="576"/>
        <w:jc w:val="left"/>
        <w:rPr>
          <w:rFonts w:hint="default"/>
        </w:rPr>
      </w:pPr>
    </w:p>
    <w:p>
      <w:pPr>
        <w:pStyle w:val="0"/>
        <w:numPr>
          <w:ilvl w:val="0"/>
          <w:numId w:val="1"/>
        </w:numPr>
        <w:autoSpaceDE w:val="0"/>
        <w:autoSpaceDN w:val="0"/>
        <w:adjustRightInd w:val="0"/>
        <w:spacing w:line="360" w:lineRule="exact"/>
        <w:jc w:val="left"/>
        <w:rPr>
          <w:rFonts w:hint="default"/>
        </w:rPr>
      </w:pPr>
      <w:r>
        <w:rPr>
          <w:rFonts w:hint="eastAsia"/>
        </w:rPr>
        <w:t>医療技術の進歩に伴い医療的ケア児が増加、多様化していることから、</w:t>
      </w:r>
      <w:r>
        <w:rPr>
          <w:rFonts w:hint="eastAsia"/>
        </w:rPr>
        <w:t>2021</w:t>
      </w:r>
      <w:r>
        <w:rPr>
          <w:rFonts w:hint="eastAsia"/>
        </w:rPr>
        <w:t>年９月に「医療的ケア児及びその家族に対する支援に関する法律」が施行され、医療的ケア児及びその家族が適切な支援を受けられるよう基本理念が定められるとともに、国や地方公共団体の責務が明らかにされました。</w:t>
      </w:r>
    </w:p>
    <w:p>
      <w:pPr>
        <w:pStyle w:val="0"/>
        <w:autoSpaceDE w:val="0"/>
        <w:autoSpaceDN w:val="0"/>
        <w:adjustRightInd w:val="0"/>
        <w:spacing w:line="360" w:lineRule="exact"/>
        <w:ind w:left="576"/>
        <w:jc w:val="left"/>
        <w:rPr>
          <w:rFonts w:hint="default"/>
        </w:rPr>
      </w:pPr>
    </w:p>
    <w:p>
      <w:pPr>
        <w:pStyle w:val="0"/>
        <w:numPr>
          <w:ilvl w:val="0"/>
          <w:numId w:val="1"/>
        </w:numPr>
        <w:autoSpaceDE w:val="0"/>
        <w:autoSpaceDN w:val="0"/>
        <w:adjustRightInd w:val="0"/>
        <w:spacing w:line="360" w:lineRule="exact"/>
        <w:jc w:val="left"/>
        <w:rPr>
          <w:rFonts w:hint="default"/>
        </w:rPr>
      </w:pPr>
      <w:r>
        <w:rPr>
          <w:rFonts w:hint="eastAsia"/>
        </w:rPr>
        <w:t>新型コロナウイルス感染症の拡大防止のために定着した「新しい生活様式」が、障害のある人にとって不安や悩みにつながることが顕在化しました。</w:t>
      </w:r>
    </w:p>
    <w:p>
      <w:pPr>
        <w:pStyle w:val="0"/>
        <w:autoSpaceDE w:val="0"/>
        <w:autoSpaceDN w:val="0"/>
        <w:adjustRightInd w:val="0"/>
        <w:spacing w:line="360" w:lineRule="exact"/>
        <w:ind w:left="576"/>
        <w:jc w:val="left"/>
        <w:rPr>
          <w:rFonts w:hint="default"/>
        </w:rPr>
      </w:pPr>
    </w:p>
    <w:p>
      <w:pPr>
        <w:pStyle w:val="0"/>
        <w:numPr>
          <w:ilvl w:val="0"/>
          <w:numId w:val="1"/>
        </w:numPr>
        <w:autoSpaceDE w:val="0"/>
        <w:autoSpaceDN w:val="0"/>
        <w:adjustRightInd w:val="0"/>
        <w:spacing w:line="360" w:lineRule="exact"/>
        <w:jc w:val="left"/>
        <w:rPr>
          <w:rFonts w:hint="default"/>
        </w:rPr>
      </w:pPr>
      <w:r>
        <w:rPr>
          <w:rFonts w:hint="eastAsia"/>
        </w:rPr>
        <w:t>一方で、</w:t>
      </w:r>
      <w:r>
        <w:rPr>
          <w:rFonts w:hint="eastAsia"/>
        </w:rPr>
        <w:t>2021</w:t>
      </w:r>
      <w:r>
        <w:rPr>
          <w:rFonts w:hint="eastAsia"/>
        </w:rPr>
        <w:t>年度に開催した「東京２０２０パラリンピック競技大会」では、日本は過去最多となる</w:t>
      </w:r>
      <w:r>
        <w:rPr>
          <w:rFonts w:hint="eastAsia"/>
        </w:rPr>
        <w:t>13</w:t>
      </w:r>
      <w:r>
        <w:rPr>
          <w:rFonts w:hint="eastAsia"/>
        </w:rPr>
        <w:t>個の金メダルを獲得し、このうち、静岡県勢の金メダル獲得は６個と半数近くを占め、多くの県民が感動し、勇気付けられました。また、大会開催後のマスコミ機関のアンケートでは、「大会の開催は障害の理解につながったと思う」との回答が</w:t>
      </w:r>
      <w:r>
        <w:rPr>
          <w:rFonts w:hint="eastAsia"/>
        </w:rPr>
        <w:t>70</w:t>
      </w:r>
      <w:r>
        <w:rPr>
          <w:rFonts w:hint="eastAsia"/>
        </w:rPr>
        <w:t>％に上り、今後、障害及び障害がある人への理解促進が更に進むことが見込まれます。</w:t>
      </w:r>
    </w:p>
    <w:p>
      <w:pPr>
        <w:pStyle w:val="0"/>
        <w:autoSpaceDE w:val="0"/>
        <w:autoSpaceDN w:val="0"/>
        <w:adjustRightInd w:val="0"/>
        <w:spacing w:line="360" w:lineRule="exact"/>
        <w:ind w:left="576"/>
        <w:jc w:val="left"/>
        <w:rPr>
          <w:rFonts w:hint="default"/>
        </w:rPr>
      </w:pPr>
    </w:p>
    <w:p>
      <w:pPr>
        <w:pStyle w:val="0"/>
        <w:numPr>
          <w:ilvl w:val="0"/>
          <w:numId w:val="1"/>
        </w:numPr>
        <w:autoSpaceDE w:val="0"/>
        <w:autoSpaceDN w:val="0"/>
        <w:adjustRightInd w:val="0"/>
        <w:spacing w:line="360" w:lineRule="exact"/>
        <w:jc w:val="left"/>
        <w:rPr>
          <w:rFonts w:hint="default"/>
        </w:rPr>
      </w:pPr>
      <w:r>
        <w:rPr>
          <w:rFonts w:hint="eastAsia"/>
        </w:rPr>
        <w:t>そこで、今回の障害者計画では、このような社会情勢の変化に対応し、今後の障害者施策の基本的方向を示しつつ、施策の総合的な推進を図るため、今後４年間の新たな計画を策定します。</w:t>
      </w:r>
    </w:p>
    <w:p>
      <w:pPr>
        <w:pStyle w:val="0"/>
        <w:autoSpaceDE w:val="0"/>
        <w:autoSpaceDN w:val="0"/>
        <w:adjustRightInd w:val="0"/>
        <w:spacing w:line="360" w:lineRule="exact"/>
        <w:jc w:val="left"/>
        <w:rPr>
          <w:rFonts w:hint="default"/>
        </w:rPr>
      </w:pPr>
    </w:p>
    <w:p>
      <w:pPr>
        <w:pStyle w:val="0"/>
        <w:widowControl w:val="1"/>
        <w:kinsoku w:val="0"/>
        <w:autoSpaceDE w:val="0"/>
        <w:autoSpaceDN w:val="0"/>
        <w:spacing w:line="360" w:lineRule="exact"/>
        <w:jc w:val="left"/>
        <w:rPr>
          <w:rFonts w:hint="default" w:ascii="ＭＳ ゴシック" w:hAnsi="ＭＳ ゴシック" w:eastAsia="ＭＳ ゴシック"/>
        </w:rPr>
      </w:pPr>
      <w:r>
        <w:rPr>
          <w:rFonts w:hint="eastAsia" w:ascii="ＭＳ ゴシック" w:hAnsi="ＭＳ ゴシック" w:eastAsia="ＭＳ ゴシック"/>
        </w:rPr>
        <w:t>＜計画を通じて実現を目指す社会＞</w:t>
      </w:r>
    </w:p>
    <w:p>
      <w:pPr>
        <w:pStyle w:val="0"/>
        <w:numPr>
          <w:ilvl w:val="0"/>
          <w:numId w:val="1"/>
        </w:numPr>
        <w:autoSpaceDE w:val="0"/>
        <w:autoSpaceDN w:val="0"/>
        <w:adjustRightInd w:val="0"/>
        <w:spacing w:line="360" w:lineRule="exact"/>
        <w:jc w:val="left"/>
        <w:rPr>
          <w:rFonts w:hint="default"/>
        </w:rPr>
      </w:pPr>
      <w:r>
        <w:rPr>
          <w:rFonts w:hint="eastAsia"/>
        </w:rPr>
        <w:t>「命の重さは障害の有無によって少しも変わることはない」という当たり前の価値観を社会全体で共有し、障害のある人と障害のない人が、お互いに自然な態度で接することが日常となるような社会の実現を目指します。</w:t>
      </w:r>
    </w:p>
    <w:p>
      <w:pPr>
        <w:pStyle w:val="0"/>
        <w:autoSpaceDE w:val="0"/>
        <w:autoSpaceDN w:val="0"/>
        <w:adjustRightInd w:val="0"/>
        <w:spacing w:line="360" w:lineRule="exact"/>
        <w:ind w:left="576"/>
        <w:jc w:val="left"/>
        <w:rPr>
          <w:rFonts w:hint="default"/>
        </w:rPr>
      </w:pPr>
    </w:p>
    <w:p>
      <w:pPr>
        <w:pStyle w:val="0"/>
        <w:numPr>
          <w:ilvl w:val="0"/>
          <w:numId w:val="1"/>
        </w:numPr>
        <w:autoSpaceDE w:val="0"/>
        <w:autoSpaceDN w:val="0"/>
        <w:adjustRightInd w:val="0"/>
        <w:spacing w:line="360" w:lineRule="exact"/>
        <w:jc w:val="left"/>
        <w:rPr>
          <w:rFonts w:hint="default"/>
        </w:rPr>
      </w:pPr>
      <w:r>
        <w:rPr>
          <w:rFonts w:hint="eastAsia"/>
          <w:u w:val="none" w:color="auto"/>
        </w:rPr>
        <w:t>ＳＤＧｓ（持続可能な開発目標）や</w:t>
      </w:r>
      <w:r>
        <w:rPr>
          <w:rFonts w:hint="eastAsia"/>
        </w:rPr>
        <w:t>、障害者権利条約、障害者差別解消法及び障害者差別解消条例</w:t>
      </w:r>
      <w:r>
        <w:rPr>
          <w:rFonts w:hint="eastAsia"/>
          <w:vertAlign w:val="superscript"/>
        </w:rPr>
        <w:t>＊</w:t>
      </w:r>
      <w:r>
        <w:rPr>
          <w:rFonts w:hint="eastAsia"/>
        </w:rPr>
        <w:t>の理念にのっとり、全ての県民が、障害の有無によって分け隔てられることなく、相互に人格と個性を尊重し合いながら共生する社会の実現を目指します。</w:t>
      </w:r>
    </w:p>
    <w:p>
      <w:pPr>
        <w:pStyle w:val="0"/>
        <w:autoSpaceDE w:val="0"/>
        <w:autoSpaceDN w:val="0"/>
        <w:adjustRightInd w:val="0"/>
        <w:jc w:val="left"/>
        <w:rPr>
          <w:rFonts w:hint="default"/>
        </w:rPr>
      </w:pPr>
    </w:p>
    <w:p>
      <w:pPr>
        <w:pStyle w:val="0"/>
        <w:autoSpaceDE w:val="0"/>
        <w:autoSpaceDN w:val="0"/>
        <w:adjustRightInd w:val="0"/>
        <w:jc w:val="left"/>
        <w:rPr>
          <w:rFonts w:hint="default"/>
        </w:rPr>
      </w:pPr>
    </w:p>
    <w:p>
      <w:pPr>
        <w:pStyle w:val="0"/>
        <w:autoSpaceDE w:val="0"/>
        <w:autoSpaceDN w:val="0"/>
        <w:adjustRightInd w:val="0"/>
        <w:jc w:val="left"/>
        <w:rPr>
          <w:rFonts w:hint="default"/>
        </w:rPr>
      </w:pPr>
    </w:p>
    <w:p>
      <w:pPr>
        <w:pStyle w:val="0"/>
        <w:autoSpaceDE w:val="0"/>
        <w:autoSpaceDN w:val="0"/>
        <w:adjustRightInd w:val="0"/>
        <w:jc w:val="left"/>
        <w:rPr>
          <w:rFonts w:hint="default"/>
        </w:rPr>
      </w:pPr>
    </w:p>
    <w:p>
      <w:pPr>
        <w:pStyle w:val="0"/>
        <w:autoSpaceDE w:val="0"/>
        <w:autoSpaceDN w:val="0"/>
        <w:adjustRightInd w:val="0"/>
        <w:jc w:val="left"/>
        <w:rPr>
          <w:rFonts w:hint="default"/>
        </w:rPr>
      </w:pPr>
    </w:p>
    <w:p>
      <w:pPr>
        <w:pStyle w:val="0"/>
        <w:autoSpaceDE w:val="0"/>
        <w:autoSpaceDN w:val="0"/>
        <w:adjustRightInd w:val="0"/>
        <w:jc w:val="left"/>
        <w:rPr>
          <w:rFonts w:hint="default"/>
        </w:rPr>
      </w:pPr>
    </w:p>
    <w:p>
      <w:pPr>
        <w:pStyle w:val="0"/>
        <w:autoSpaceDE w:val="0"/>
        <w:autoSpaceDN w:val="0"/>
        <w:adjustRightInd w:val="0"/>
        <w:jc w:val="left"/>
        <w:rPr>
          <w:rFonts w:hint="default"/>
        </w:rPr>
      </w:pPr>
    </w:p>
    <w:p>
      <w:pPr>
        <w:pStyle w:val="0"/>
        <w:outlineLvl w:val="1"/>
        <w:rPr>
          <w:rFonts w:hint="default" w:ascii="ＭＳ ゴシック" w:hAnsi="ＭＳ ゴシック" w:eastAsia="ＭＳ ゴシック"/>
          <w:sz w:val="26"/>
        </w:rPr>
      </w:pPr>
      <w:bookmarkStart w:id="14" w:name="_Toc500152683"/>
      <w:bookmarkEnd w:id="14"/>
      <w:bookmarkStart w:id="15" w:name="_Toc500152684"/>
      <w:bookmarkEnd w:id="15"/>
      <w:bookmarkStart w:id="16" w:name="_Toc500152685"/>
      <w:bookmarkEnd w:id="16"/>
      <w:bookmarkStart w:id="17" w:name="_Toc500152686"/>
      <w:bookmarkEnd w:id="17"/>
      <w:bookmarkStart w:id="18" w:name="_Toc500152687"/>
      <w:bookmarkEnd w:id="18"/>
      <w:r>
        <w:rPr>
          <w:rFonts w:hint="eastAsia" w:ascii="ＭＳ ゴシック" w:hAnsi="ＭＳ ゴシック" w:eastAsia="ＭＳ ゴシック"/>
          <w:sz w:val="26"/>
          <w:u w:val="single" w:color="auto"/>
        </w:rPr>
        <w:t>２　計画の位置付け</w:t>
      </w:r>
    </w:p>
    <w:p>
      <w:pPr>
        <w:pStyle w:val="0"/>
        <w:numPr>
          <w:ilvl w:val="0"/>
          <w:numId w:val="1"/>
        </w:numPr>
        <w:autoSpaceDE w:val="0"/>
        <w:autoSpaceDN w:val="0"/>
        <w:adjustRightInd w:val="0"/>
        <w:spacing w:line="360" w:lineRule="exact"/>
        <w:jc w:val="left"/>
        <w:rPr>
          <w:rFonts w:hint="default" w:ascii="ＭＳ ゴシック" w:hAnsi="ＭＳ ゴシック" w:eastAsia="ＭＳ ゴシック"/>
        </w:rPr>
      </w:pPr>
      <w:r>
        <w:rPr>
          <w:rFonts w:hint="eastAsia"/>
          <w:kern w:val="0"/>
        </w:rPr>
        <w:t>「ふじのくに障害者しあわせプラン」は、障害者基本法第</w:t>
      </w:r>
      <w:r>
        <w:rPr>
          <w:rFonts w:hint="default"/>
          <w:kern w:val="0"/>
        </w:rPr>
        <w:t>11</w:t>
      </w:r>
      <w:r>
        <w:rPr>
          <w:rFonts w:hint="eastAsia"/>
          <w:kern w:val="0"/>
        </w:rPr>
        <w:t>条第２項に定める「都道府県障害者計画」、障害者総合支援法第</w:t>
      </w:r>
      <w:r>
        <w:rPr>
          <w:rFonts w:hint="default"/>
          <w:kern w:val="0"/>
        </w:rPr>
        <w:t>89</w:t>
      </w:r>
      <w:r>
        <w:rPr>
          <w:rFonts w:hint="eastAsia"/>
          <w:kern w:val="0"/>
        </w:rPr>
        <w:t>条第１項に定める「都道府県障害福祉計画」及び児童福祉法第</w:t>
      </w:r>
      <w:r>
        <w:rPr>
          <w:rFonts w:hint="eastAsia"/>
          <w:kern w:val="0"/>
        </w:rPr>
        <w:t>33</w:t>
      </w:r>
      <w:r>
        <w:rPr>
          <w:rFonts w:hint="eastAsia"/>
          <w:kern w:val="0"/>
        </w:rPr>
        <w:t>条の</w:t>
      </w:r>
      <w:r>
        <w:rPr>
          <w:rFonts w:hint="eastAsia"/>
          <w:kern w:val="0"/>
        </w:rPr>
        <w:t>22</w:t>
      </w:r>
      <w:r>
        <w:rPr>
          <w:rFonts w:hint="eastAsia"/>
          <w:kern w:val="0"/>
        </w:rPr>
        <w:t>第１項に定める「都道府県障害児福祉計画」に位置付けられます。</w:t>
      </w:r>
    </w:p>
    <w:p>
      <w:pPr>
        <w:pStyle w:val="0"/>
        <w:autoSpaceDE w:val="0"/>
        <w:autoSpaceDN w:val="0"/>
        <w:adjustRightInd w:val="0"/>
        <w:spacing w:line="360" w:lineRule="exact"/>
        <w:ind w:left="576"/>
        <w:jc w:val="left"/>
        <w:rPr>
          <w:rFonts w:hint="default" w:ascii="ＭＳ ゴシック" w:hAnsi="ＭＳ ゴシック" w:eastAsia="ＭＳ ゴシック"/>
        </w:rPr>
      </w:pPr>
    </w:p>
    <w:p>
      <w:pPr>
        <w:pStyle w:val="0"/>
        <w:numPr>
          <w:ilvl w:val="0"/>
          <w:numId w:val="1"/>
        </w:numPr>
        <w:autoSpaceDE w:val="0"/>
        <w:autoSpaceDN w:val="0"/>
        <w:adjustRightInd w:val="0"/>
        <w:spacing w:line="360" w:lineRule="exact"/>
        <w:jc w:val="left"/>
        <w:rPr>
          <w:rFonts w:hint="default" w:ascii="ＭＳ ゴシック" w:hAnsi="ＭＳ ゴシック" w:eastAsia="ＭＳ ゴシック"/>
        </w:rPr>
      </w:pPr>
      <w:r>
        <w:rPr>
          <w:rFonts w:hint="eastAsia"/>
          <w:kern w:val="0"/>
        </w:rPr>
        <w:t>この計画は、静岡県における障害者施策の基本的方向性を示す「障害者計画」と、その方向性に沿った施策目標を実現するための実施計画である「障害福祉計画」及び「障害児福祉計画」により、総合的に推進します。</w:t>
      </w:r>
    </w:p>
    <w:p>
      <w:pPr>
        <w:pStyle w:val="0"/>
        <w:autoSpaceDE w:val="0"/>
        <w:autoSpaceDN w:val="0"/>
        <w:adjustRightInd w:val="0"/>
        <w:spacing w:line="360" w:lineRule="exact"/>
        <w:ind w:left="576"/>
        <w:jc w:val="left"/>
        <w:rPr>
          <w:rFonts w:hint="default" w:ascii="ＭＳ ゴシック" w:hAnsi="ＭＳ ゴシック" w:eastAsia="ＭＳ ゴシック"/>
        </w:rPr>
      </w:pPr>
    </w:p>
    <w:p>
      <w:pPr>
        <w:pStyle w:val="0"/>
        <w:numPr>
          <w:ilvl w:val="0"/>
          <w:numId w:val="1"/>
        </w:numPr>
        <w:autoSpaceDE w:val="0"/>
        <w:autoSpaceDN w:val="0"/>
        <w:adjustRightInd w:val="0"/>
        <w:spacing w:line="360" w:lineRule="exact"/>
        <w:jc w:val="left"/>
        <w:rPr>
          <w:rFonts w:hint="default"/>
        </w:rPr>
      </w:pPr>
      <w:r>
        <w:rPr>
          <w:rFonts w:hint="eastAsia"/>
          <w:kern w:val="0"/>
        </w:rPr>
        <w:t>この計画は、静岡県総合計画の分野別実行計画であることから、総合計画との一体性を確保しながら、全庁が一丸となって取り組むものです。また、「静岡県地域福祉支援計画」</w:t>
      </w:r>
      <w:r>
        <w:rPr>
          <w:rFonts w:hint="eastAsia"/>
          <w:vertAlign w:val="superscript"/>
        </w:rPr>
        <w:t>＊</w:t>
      </w:r>
      <w:r>
        <w:rPr>
          <w:rFonts w:hint="eastAsia"/>
          <w:kern w:val="0"/>
        </w:rPr>
        <w:t>、「静岡県保健医療計画」、「ふじのくに長寿社会安心プラン」、「ふじさんっこ応援プラン」等の関連する計画との連携・整合を図り、本県の障害者関連施策全体の調和を保って推進します。</w:t>
      </w:r>
    </w:p>
    <w:p>
      <w:pPr>
        <w:pStyle w:val="0"/>
        <w:autoSpaceDE w:val="0"/>
        <w:autoSpaceDN w:val="0"/>
        <w:adjustRightInd w:val="0"/>
        <w:spacing w:line="360" w:lineRule="exact"/>
        <w:ind w:left="576"/>
        <w:jc w:val="left"/>
        <w:rPr>
          <w:rFonts w:hint="default"/>
        </w:rPr>
      </w:pPr>
    </w:p>
    <w:p>
      <w:pPr>
        <w:pStyle w:val="0"/>
        <w:numPr>
          <w:ilvl w:val="0"/>
          <w:numId w:val="1"/>
        </w:numPr>
        <w:autoSpaceDE w:val="0"/>
        <w:autoSpaceDN w:val="0"/>
        <w:adjustRightInd w:val="0"/>
        <w:spacing w:line="360" w:lineRule="exact"/>
        <w:jc w:val="left"/>
        <w:rPr>
          <w:rFonts w:hint="default"/>
        </w:rPr>
      </w:pPr>
      <w:r>
        <w:rPr>
          <w:rFonts w:hint="eastAsia"/>
          <w:kern w:val="0"/>
        </w:rPr>
        <w:t>この計画は、地域の社会資源を有効に活用し、地域の実情に応じたサービスの提供ができるように、市町の障害者計画、障害福祉計画及び障害児福祉計画の円滑な推進を支援するものです。</w:t>
      </w:r>
    </w:p>
    <w:p>
      <w:pPr>
        <w:pStyle w:val="0"/>
        <w:widowControl w:val="1"/>
        <w:kinsoku w:val="0"/>
        <w:autoSpaceDE w:val="0"/>
        <w:autoSpaceDN w:val="0"/>
        <w:jc w:val="left"/>
        <w:rPr>
          <w:rFonts w:hint="default" w:ascii="ＭＳ ゴシック" w:hAnsi="ＭＳ ゴシック" w:eastAsia="ＭＳ ゴシック"/>
          <w:u w:val="single" w:color="auto"/>
        </w:rPr>
      </w:pPr>
    </w:p>
    <w:p>
      <w:pPr>
        <w:pStyle w:val="0"/>
        <w:widowControl w:val="1"/>
        <w:kinsoku w:val="0"/>
        <w:autoSpaceDE w:val="0"/>
        <w:autoSpaceDN w:val="0"/>
        <w:jc w:val="left"/>
        <w:rPr>
          <w:rFonts w:hint="default" w:ascii="ＭＳ ゴシック" w:hAnsi="ＭＳ ゴシック" w:eastAsia="ＭＳ ゴシック"/>
        </w:rPr>
      </w:pPr>
      <w:r>
        <w:rPr>
          <w:rFonts w:hint="default" w:ascii="ＭＳ ゴシック" w:hAnsi="ＭＳ ゴシック" w:eastAsia="ＭＳ ゴシック"/>
        </w:rPr>
        <w:br w:type="page"/>
      </w:r>
      <w:r>
        <w:rPr>
          <w:rFonts w:hint="eastAsia" w:ascii="ＭＳ ゴシック" w:hAnsi="ＭＳ ゴシック" w:eastAsia="ＭＳ ゴシック"/>
        </w:rPr>
        <w:t>【前回計画期間中の主な制度改正等】</w:t>
      </w:r>
    </w:p>
    <w:tbl>
      <w:tblPr>
        <w:tblStyle w:val="11"/>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1701"/>
        <w:gridCol w:w="8080"/>
      </w:tblGrid>
      <w:tr>
        <w:trPr/>
        <w:tc>
          <w:tcPr>
            <w:tcW w:w="1701" w:type="dxa"/>
            <w:shd w:val="clear" w:color="auto" w:fill="C0C0C0"/>
            <w:vAlign w:val="center"/>
          </w:tcPr>
          <w:p>
            <w:pPr>
              <w:pStyle w:val="0"/>
              <w:widowControl w:val="1"/>
              <w:kinsoku w:val="0"/>
              <w:autoSpaceDE w:val="0"/>
              <w:autoSpaceDN w:val="0"/>
              <w:jc w:val="center"/>
              <w:rPr>
                <w:rFonts w:hint="default" w:ascii="ＭＳ ゴシック" w:hAnsi="ＭＳ ゴシック" w:eastAsia="ＭＳ ゴシック"/>
              </w:rPr>
            </w:pPr>
            <w:r>
              <w:rPr>
                <w:rFonts w:hint="eastAsia" w:ascii="ＭＳ ゴシック" w:hAnsi="ＭＳ ゴシック" w:eastAsia="ＭＳ ゴシック"/>
              </w:rPr>
              <w:t>年　月</w:t>
            </w:r>
          </w:p>
        </w:tc>
        <w:tc>
          <w:tcPr>
            <w:tcW w:w="8080" w:type="dxa"/>
            <w:shd w:val="clear" w:color="auto" w:fill="C0C0C0"/>
            <w:vAlign w:val="center"/>
          </w:tcPr>
          <w:p>
            <w:pPr>
              <w:pStyle w:val="0"/>
              <w:widowControl w:val="1"/>
              <w:kinsoku w:val="0"/>
              <w:autoSpaceDE w:val="0"/>
              <w:autoSpaceDN w:val="0"/>
              <w:jc w:val="center"/>
              <w:rPr>
                <w:rFonts w:hint="default" w:ascii="ＭＳ ゴシック" w:hAnsi="ＭＳ ゴシック" w:eastAsia="ＭＳ ゴシック"/>
              </w:rPr>
            </w:pPr>
            <w:r>
              <w:rPr>
                <w:rFonts w:hint="eastAsia" w:ascii="ＭＳ ゴシック" w:hAnsi="ＭＳ ゴシック" w:eastAsia="ＭＳ ゴシック"/>
              </w:rPr>
              <w:t>主な制度改正等の内容</w:t>
            </w:r>
          </w:p>
        </w:tc>
      </w:tr>
      <w:tr>
        <w:trPr>
          <w:trHeight w:val="1622" w:hRule="atLeast"/>
        </w:trPr>
        <w:tc>
          <w:tcPr>
            <w:tcW w:w="1701" w:type="dxa"/>
            <w:shd w:val="clear" w:color="auto" w:fill="auto"/>
            <w:vAlign w:val="center"/>
          </w:tcPr>
          <w:p>
            <w:pPr>
              <w:pStyle w:val="0"/>
              <w:widowControl w:val="1"/>
              <w:kinsoku w:val="0"/>
              <w:autoSpaceDE w:val="0"/>
              <w:autoSpaceDN w:val="0"/>
              <w:spacing w:line="360" w:lineRule="exact"/>
              <w:jc w:val="left"/>
              <w:rPr>
                <w:rFonts w:hint="default"/>
              </w:rPr>
            </w:pPr>
            <w:r>
              <w:rPr>
                <w:rFonts w:hint="eastAsia" w:ascii="ＭＳ ゴシック" w:hAnsi="ＭＳ ゴシック" w:eastAsia="ＭＳ ゴシック"/>
              </w:rPr>
              <w:t>2018</w:t>
            </w:r>
            <w:r>
              <w:rPr>
                <w:rFonts w:hint="eastAsia" w:ascii="ＭＳ ゴシック" w:hAnsi="ＭＳ ゴシック" w:eastAsia="ＭＳ ゴシック"/>
              </w:rPr>
              <w:t>年６月</w:t>
            </w:r>
          </w:p>
        </w:tc>
        <w:tc>
          <w:tcPr>
            <w:tcW w:w="8080" w:type="dxa"/>
            <w:shd w:val="clear" w:color="auto" w:fill="auto"/>
            <w:vAlign w:val="center"/>
          </w:tcPr>
          <w:p>
            <w:pPr>
              <w:pStyle w:val="0"/>
              <w:widowControl w:val="1"/>
              <w:kinsoku w:val="0"/>
              <w:autoSpaceDE w:val="0"/>
              <w:autoSpaceDN w:val="0"/>
              <w:spacing w:line="360" w:lineRule="exact"/>
              <w:jc w:val="left"/>
              <w:rPr>
                <w:rFonts w:hint="default"/>
              </w:rPr>
            </w:pPr>
            <w:r>
              <w:rPr>
                <w:rFonts w:hint="eastAsia" w:ascii="ＭＳ ゴシック" w:hAnsi="ＭＳ ゴシック" w:eastAsia="ＭＳ ゴシック"/>
              </w:rPr>
              <w:t>障害者による文化芸術活動の推進に関する法律の施行</w:t>
            </w:r>
          </w:p>
          <w:p>
            <w:pPr>
              <w:pStyle w:val="0"/>
              <w:widowControl w:val="1"/>
              <w:kinsoku w:val="0"/>
              <w:autoSpaceDE w:val="0"/>
              <w:autoSpaceDN w:val="0"/>
              <w:spacing w:line="360" w:lineRule="exact"/>
              <w:jc w:val="left"/>
              <w:rPr>
                <w:rFonts w:hint="default"/>
              </w:rPr>
            </w:pPr>
            <w:r>
              <w:rPr>
                <w:rFonts w:hint="eastAsia"/>
              </w:rPr>
              <w:t>①文化芸術の鑑賞・参加・創造、障害者の文化芸術活動の幅広い促進</w:t>
            </w:r>
          </w:p>
          <w:p>
            <w:pPr>
              <w:pStyle w:val="0"/>
              <w:widowControl w:val="1"/>
              <w:kinsoku w:val="0"/>
              <w:autoSpaceDE w:val="0"/>
              <w:autoSpaceDN w:val="0"/>
              <w:spacing w:line="360" w:lineRule="exact"/>
              <w:jc w:val="left"/>
              <w:rPr>
                <w:rFonts w:hint="default"/>
              </w:rPr>
            </w:pPr>
            <w:r>
              <w:rPr>
                <w:rFonts w:hint="eastAsia"/>
              </w:rPr>
              <w:t>②障害者による芸術上価値が高い作品等の創造への支援の強化</w:t>
            </w:r>
          </w:p>
          <w:p>
            <w:pPr>
              <w:pStyle w:val="0"/>
              <w:widowControl w:val="1"/>
              <w:kinsoku w:val="0"/>
              <w:autoSpaceDE w:val="0"/>
              <w:autoSpaceDN w:val="0"/>
              <w:spacing w:line="360" w:lineRule="exact"/>
              <w:jc w:val="left"/>
              <w:rPr>
                <w:rFonts w:hint="default"/>
              </w:rPr>
            </w:pPr>
            <w:r>
              <w:rPr>
                <w:rFonts w:hint="eastAsia"/>
              </w:rPr>
              <w:t>③障害者による文化芸術活動の発表、交流の促進　など</w:t>
            </w:r>
          </w:p>
        </w:tc>
      </w:tr>
      <w:tr>
        <w:trPr>
          <w:trHeight w:val="1390" w:hRule="atLeast"/>
        </w:trPr>
        <w:tc>
          <w:tcPr>
            <w:tcW w:w="1701" w:type="dxa"/>
            <w:shd w:val="clear" w:color="auto" w:fill="auto"/>
            <w:vAlign w:val="center"/>
          </w:tcPr>
          <w:p>
            <w:pPr>
              <w:pStyle w:val="0"/>
              <w:widowControl w:val="1"/>
              <w:kinsoku w:val="0"/>
              <w:autoSpaceDE w:val="0"/>
              <w:autoSpaceDN w:val="0"/>
              <w:spacing w:line="360" w:lineRule="exact"/>
              <w:jc w:val="left"/>
              <w:rPr>
                <w:rFonts w:hint="default" w:ascii="ＭＳ ゴシック" w:hAnsi="ＭＳ ゴシック" w:eastAsia="ＭＳ ゴシック"/>
              </w:rPr>
            </w:pPr>
            <w:r>
              <w:rPr>
                <w:rFonts w:hint="eastAsia" w:ascii="ＭＳ ゴシック" w:hAnsi="ＭＳ ゴシック" w:eastAsia="ＭＳ ゴシック"/>
              </w:rPr>
              <w:t>2019</w:t>
            </w:r>
            <w:r>
              <w:rPr>
                <w:rFonts w:hint="eastAsia" w:ascii="ＭＳ ゴシック" w:hAnsi="ＭＳ ゴシック" w:eastAsia="ＭＳ ゴシック"/>
              </w:rPr>
              <w:t>年６月</w:t>
            </w:r>
          </w:p>
        </w:tc>
        <w:tc>
          <w:tcPr>
            <w:tcW w:w="8080" w:type="dxa"/>
            <w:shd w:val="clear" w:color="auto" w:fill="auto"/>
            <w:vAlign w:val="center"/>
          </w:tcPr>
          <w:p>
            <w:pPr>
              <w:pStyle w:val="0"/>
              <w:widowControl w:val="1"/>
              <w:kinsoku w:val="0"/>
              <w:autoSpaceDE w:val="0"/>
              <w:autoSpaceDN w:val="0"/>
              <w:spacing w:line="360" w:lineRule="exact"/>
              <w:jc w:val="left"/>
              <w:rPr>
                <w:rFonts w:hint="default"/>
              </w:rPr>
            </w:pPr>
            <w:r>
              <w:rPr>
                <w:rFonts w:hint="eastAsia" w:ascii="ＭＳ ゴシック" w:hAnsi="ＭＳ ゴシック" w:eastAsia="ＭＳ ゴシック"/>
              </w:rPr>
              <w:t>視覚障害者等の読書環境の整備の推進に関する法律の施行</w:t>
            </w:r>
          </w:p>
          <w:p>
            <w:pPr>
              <w:pStyle w:val="0"/>
              <w:widowControl w:val="1"/>
              <w:kinsoku w:val="0"/>
              <w:autoSpaceDE w:val="0"/>
              <w:autoSpaceDN w:val="0"/>
              <w:spacing w:line="360" w:lineRule="exact"/>
              <w:jc w:val="left"/>
              <w:rPr>
                <w:rFonts w:hint="default"/>
              </w:rPr>
            </w:pPr>
            <w:r>
              <w:rPr>
                <w:rFonts w:hint="eastAsia"/>
              </w:rPr>
              <w:t>①視覚障害者等が利用しやすい書籍・電子書籍等の普及</w:t>
            </w:r>
          </w:p>
          <w:p>
            <w:pPr>
              <w:pStyle w:val="0"/>
              <w:widowControl w:val="1"/>
              <w:kinsoku w:val="0"/>
              <w:autoSpaceDE w:val="0"/>
              <w:autoSpaceDN w:val="0"/>
              <w:spacing w:line="360" w:lineRule="exact"/>
              <w:jc w:val="left"/>
              <w:rPr>
                <w:rFonts w:hint="default" w:ascii="ＭＳ ゴシック" w:hAnsi="ＭＳ ゴシック" w:eastAsia="ＭＳ ゴシック"/>
              </w:rPr>
            </w:pPr>
            <w:r>
              <w:rPr>
                <w:rFonts w:hint="eastAsia"/>
              </w:rPr>
              <w:t>②視覚障害者等の障害の種類及び程度に応じた配慮　など</w:t>
            </w:r>
          </w:p>
        </w:tc>
      </w:tr>
      <w:tr>
        <w:trPr>
          <w:trHeight w:val="1407" w:hRule="atLeast"/>
        </w:trPr>
        <w:tc>
          <w:tcPr>
            <w:tcW w:w="1701" w:type="dxa"/>
            <w:shd w:val="clear" w:color="auto" w:fill="auto"/>
            <w:vAlign w:val="center"/>
          </w:tcPr>
          <w:p>
            <w:pPr>
              <w:pStyle w:val="0"/>
              <w:spacing w:line="360" w:lineRule="exact"/>
              <w:rPr>
                <w:rFonts w:hint="default" w:ascii="ＭＳ ゴシック" w:hAnsi="ＭＳ ゴシック" w:eastAsia="ＭＳ ゴシック"/>
              </w:rPr>
            </w:pPr>
            <w:r>
              <w:rPr>
                <w:rFonts w:hint="eastAsia" w:ascii="ＭＳ ゴシック" w:hAnsi="ＭＳ ゴシック" w:eastAsia="ＭＳ ゴシック"/>
              </w:rPr>
              <w:t>2020</w:t>
            </w:r>
            <w:r>
              <w:rPr>
                <w:rFonts w:hint="eastAsia" w:ascii="ＭＳ ゴシック" w:hAnsi="ＭＳ ゴシック" w:eastAsia="ＭＳ ゴシック"/>
              </w:rPr>
              <w:t>年４月</w:t>
            </w:r>
          </w:p>
        </w:tc>
        <w:tc>
          <w:tcPr>
            <w:tcW w:w="8080" w:type="dxa"/>
            <w:shd w:val="clear" w:color="auto" w:fill="auto"/>
            <w:vAlign w:val="center"/>
          </w:tcPr>
          <w:p>
            <w:pPr>
              <w:pStyle w:val="0"/>
              <w:spacing w:line="360" w:lineRule="exact"/>
              <w:rPr>
                <w:rFonts w:hint="default"/>
              </w:rPr>
            </w:pPr>
            <w:r>
              <w:rPr>
                <w:rFonts w:hint="eastAsia" w:ascii="ＭＳ ゴシック" w:hAnsi="ＭＳ ゴシック" w:eastAsia="ＭＳ ゴシック"/>
              </w:rPr>
              <w:t>障害者の雇用の促進等に関する法律（障害者雇用促進法）の改正公布</w:t>
            </w:r>
          </w:p>
          <w:p>
            <w:pPr>
              <w:pStyle w:val="0"/>
              <w:spacing w:line="360" w:lineRule="exact"/>
              <w:rPr>
                <w:rFonts w:hint="default"/>
              </w:rPr>
            </w:pPr>
            <w:r>
              <w:rPr>
                <w:rFonts w:hint="eastAsia"/>
              </w:rPr>
              <w:t>①事業主に対する短時間労働の障害者の雇入れ及び継続雇用の支援</w:t>
            </w:r>
          </w:p>
          <w:p>
            <w:pPr>
              <w:pStyle w:val="0"/>
              <w:spacing w:line="360" w:lineRule="exact"/>
              <w:rPr>
                <w:rFonts w:hint="default"/>
              </w:rPr>
            </w:pPr>
            <w:r>
              <w:rPr>
                <w:rFonts w:hint="eastAsia"/>
              </w:rPr>
              <w:t>②地方公共団体等における障害者の雇用状況についての的確な把握など</w:t>
            </w:r>
          </w:p>
        </w:tc>
      </w:tr>
      <w:tr>
        <w:trPr>
          <w:trHeight w:val="1406" w:hRule="atLeast"/>
        </w:trPr>
        <w:tc>
          <w:tcPr>
            <w:tcW w:w="1701" w:type="dxa"/>
            <w:shd w:val="clear" w:color="auto" w:fill="auto"/>
            <w:vAlign w:val="center"/>
          </w:tcPr>
          <w:p>
            <w:pPr>
              <w:pStyle w:val="0"/>
              <w:spacing w:line="360" w:lineRule="exact"/>
              <w:rPr>
                <w:rFonts w:hint="default" w:ascii="ＭＳ ゴシック" w:hAnsi="ＭＳ ゴシック" w:eastAsia="ＭＳ ゴシック"/>
              </w:rPr>
            </w:pPr>
            <w:r>
              <w:rPr>
                <w:rFonts w:hint="eastAsia" w:ascii="ＭＳ ゴシック" w:hAnsi="ＭＳ ゴシック" w:eastAsia="ＭＳ ゴシック"/>
              </w:rPr>
              <w:t>2020</w:t>
            </w:r>
            <w:r>
              <w:rPr>
                <w:rFonts w:hint="eastAsia" w:ascii="ＭＳ ゴシック" w:hAnsi="ＭＳ ゴシック" w:eastAsia="ＭＳ ゴシック"/>
              </w:rPr>
              <w:t>年</w:t>
            </w:r>
            <w:r>
              <w:rPr>
                <w:rFonts w:hint="eastAsia" w:ascii="ＭＳ ゴシック" w:hAnsi="ＭＳ ゴシック" w:eastAsia="ＭＳ ゴシック"/>
              </w:rPr>
              <w:t>12</w:t>
            </w:r>
            <w:r>
              <w:rPr>
                <w:rFonts w:hint="eastAsia" w:ascii="ＭＳ ゴシック" w:hAnsi="ＭＳ ゴシック" w:eastAsia="ＭＳ ゴシック"/>
              </w:rPr>
              <w:t>月</w:t>
            </w:r>
          </w:p>
        </w:tc>
        <w:tc>
          <w:tcPr>
            <w:tcW w:w="8080" w:type="dxa"/>
            <w:shd w:val="clear" w:color="auto" w:fill="auto"/>
            <w:vAlign w:val="center"/>
          </w:tcPr>
          <w:p>
            <w:pPr>
              <w:pStyle w:val="0"/>
              <w:spacing w:line="360" w:lineRule="exact"/>
              <w:rPr>
                <w:rFonts w:hint="default" w:ascii="ＭＳ ゴシック" w:hAnsi="ＭＳ ゴシック" w:eastAsia="ＭＳ ゴシック"/>
              </w:rPr>
            </w:pPr>
            <w:r>
              <w:rPr>
                <w:rFonts w:hint="eastAsia" w:ascii="ＭＳ ゴシック" w:hAnsi="ＭＳ ゴシック" w:eastAsia="ＭＳ ゴシック"/>
              </w:rPr>
              <w:t>聴覚障害者等による電話の利用の円滑化に関する法律の施行</w:t>
            </w:r>
          </w:p>
          <w:p>
            <w:pPr>
              <w:pStyle w:val="0"/>
              <w:spacing w:line="360" w:lineRule="exact"/>
              <w:rPr>
                <w:rFonts w:hint="default"/>
                <w:color w:val="auto"/>
                <w:u w:val="none" w:color="auto"/>
              </w:rPr>
            </w:pPr>
            <w:r>
              <w:rPr>
                <w:rFonts w:hint="eastAsia"/>
                <w:color w:val="auto"/>
                <w:u w:val="none" w:color="auto"/>
              </w:rPr>
              <w:t>手話</w:t>
            </w:r>
            <w:r>
              <w:rPr>
                <w:rFonts w:hint="eastAsia"/>
                <w:color w:val="000000" w:themeColor="text1"/>
                <w:spacing w:val="-4"/>
                <w:kern w:val="0"/>
                <w:vertAlign w:val="superscript"/>
              </w:rPr>
              <w:t>＊</w:t>
            </w:r>
            <w:r>
              <w:rPr>
                <w:rFonts w:hint="eastAsia"/>
                <w:color w:val="auto"/>
                <w:u w:val="none" w:color="auto"/>
              </w:rPr>
              <w:t>通訳オペレータ等を介して意思疎通を仲介する電話リレーサービスに関する制度の創設</w:t>
            </w:r>
          </w:p>
        </w:tc>
      </w:tr>
      <w:tr>
        <w:trPr>
          <w:trHeight w:val="1374" w:hRule="atLeast"/>
        </w:trPr>
        <w:tc>
          <w:tcPr>
            <w:tcW w:w="1701" w:type="dxa"/>
            <w:shd w:val="clear" w:color="auto" w:fill="auto"/>
            <w:vAlign w:val="center"/>
          </w:tcPr>
          <w:p>
            <w:pPr>
              <w:pStyle w:val="0"/>
              <w:spacing w:line="360" w:lineRule="exact"/>
              <w:rPr>
                <w:rFonts w:hint="default" w:ascii="ＭＳ ゴシック" w:hAnsi="ＭＳ ゴシック" w:eastAsia="ＭＳ ゴシック"/>
              </w:rPr>
            </w:pPr>
            <w:r>
              <w:rPr>
                <w:rFonts w:hint="eastAsia" w:ascii="ＭＳ ゴシック" w:hAnsi="ＭＳ ゴシック" w:eastAsia="ＭＳ ゴシック"/>
              </w:rPr>
              <w:t>2021</w:t>
            </w:r>
            <w:r>
              <w:rPr>
                <w:rFonts w:hint="eastAsia" w:ascii="ＭＳ ゴシック" w:hAnsi="ＭＳ ゴシック" w:eastAsia="ＭＳ ゴシック"/>
              </w:rPr>
              <w:t>年６月</w:t>
            </w:r>
          </w:p>
        </w:tc>
        <w:tc>
          <w:tcPr>
            <w:tcW w:w="8080" w:type="dxa"/>
            <w:shd w:val="clear" w:color="auto" w:fill="auto"/>
            <w:vAlign w:val="center"/>
          </w:tcPr>
          <w:p>
            <w:pPr>
              <w:pStyle w:val="0"/>
              <w:spacing w:line="360" w:lineRule="exact"/>
              <w:rPr>
                <w:rFonts w:hint="default"/>
              </w:rPr>
            </w:pPr>
            <w:r>
              <w:rPr>
                <w:rFonts w:hint="eastAsia" w:ascii="ＭＳ ゴシック" w:hAnsi="ＭＳ ゴシック" w:eastAsia="ＭＳ ゴシック"/>
              </w:rPr>
              <w:t>障害者差別解消法の改正公布</w:t>
            </w:r>
          </w:p>
          <w:p>
            <w:pPr>
              <w:pStyle w:val="0"/>
              <w:spacing w:line="360" w:lineRule="exact"/>
              <w:rPr>
                <w:rFonts w:hint="default"/>
              </w:rPr>
            </w:pPr>
            <w:r>
              <w:rPr>
                <w:rFonts w:hint="eastAsia"/>
              </w:rPr>
              <w:t>①民間事業者による合理的配慮</w:t>
            </w:r>
            <w:r>
              <w:rPr>
                <w:rFonts w:hint="eastAsia"/>
                <w:color w:val="000000" w:themeColor="text1"/>
                <w:spacing w:val="-4"/>
                <w:kern w:val="0"/>
                <w:vertAlign w:val="superscript"/>
              </w:rPr>
              <w:t>＊</w:t>
            </w:r>
            <w:r>
              <w:rPr>
                <w:rFonts w:hint="eastAsia"/>
              </w:rPr>
              <w:t>の提供が努力義務から義務に改正</w:t>
            </w:r>
          </w:p>
          <w:p>
            <w:pPr>
              <w:pStyle w:val="0"/>
              <w:spacing w:line="360" w:lineRule="exact"/>
              <w:rPr>
                <w:rFonts w:hint="default"/>
              </w:rPr>
            </w:pPr>
            <w:r>
              <w:rPr>
                <w:rFonts w:hint="eastAsia"/>
              </w:rPr>
              <w:t>②施行日は公布の日から３年以内で政令で定める日</w:t>
            </w:r>
          </w:p>
        </w:tc>
      </w:tr>
      <w:tr>
        <w:trPr>
          <w:trHeight w:val="1660" w:hRule="atLeast"/>
        </w:trPr>
        <w:tc>
          <w:tcPr>
            <w:tcW w:w="1701" w:type="dxa"/>
            <w:shd w:val="clear" w:color="auto" w:fill="auto"/>
            <w:vAlign w:val="center"/>
          </w:tcPr>
          <w:p>
            <w:pPr>
              <w:pStyle w:val="0"/>
              <w:spacing w:line="360" w:lineRule="exact"/>
              <w:rPr>
                <w:rFonts w:hint="default" w:ascii="ＭＳ ゴシック" w:hAnsi="ＭＳ ゴシック" w:eastAsia="ＭＳ ゴシック"/>
              </w:rPr>
            </w:pPr>
            <w:r>
              <w:rPr>
                <w:rFonts w:hint="eastAsia" w:ascii="ＭＳ ゴシック" w:hAnsi="ＭＳ ゴシック" w:eastAsia="ＭＳ ゴシック"/>
              </w:rPr>
              <w:t>2021</w:t>
            </w:r>
            <w:r>
              <w:rPr>
                <w:rFonts w:hint="eastAsia" w:ascii="ＭＳ ゴシック" w:hAnsi="ＭＳ ゴシック" w:eastAsia="ＭＳ ゴシック"/>
              </w:rPr>
              <w:t>年９月</w:t>
            </w:r>
          </w:p>
        </w:tc>
        <w:tc>
          <w:tcPr>
            <w:tcW w:w="8080" w:type="dxa"/>
            <w:shd w:val="clear" w:color="auto" w:fill="auto"/>
            <w:vAlign w:val="center"/>
          </w:tcPr>
          <w:p>
            <w:pPr>
              <w:pStyle w:val="0"/>
              <w:spacing w:line="360" w:lineRule="exact"/>
              <w:rPr>
                <w:rFonts w:hint="default"/>
              </w:rPr>
            </w:pPr>
            <w:r>
              <w:rPr>
                <w:rFonts w:hint="eastAsia" w:ascii="ＭＳ ゴシック" w:hAnsi="ＭＳ ゴシック" w:eastAsia="ＭＳ ゴシック"/>
              </w:rPr>
              <w:t>医療的ケア児及びその家族に対する支援に関する法律（医療的ケア児支援法）の施行</w:t>
            </w:r>
          </w:p>
          <w:p>
            <w:pPr>
              <w:pStyle w:val="0"/>
              <w:spacing w:line="360" w:lineRule="exact"/>
              <w:rPr>
                <w:rFonts w:hint="default"/>
              </w:rPr>
            </w:pPr>
            <w:r>
              <w:rPr>
                <w:rFonts w:hint="eastAsia"/>
              </w:rPr>
              <w:t>①医療的ケア児等支援センター</w:t>
            </w:r>
            <w:r>
              <w:rPr>
                <w:rFonts w:hint="eastAsia"/>
                <w:color w:val="000000" w:themeColor="text1"/>
                <w:spacing w:val="-4"/>
                <w:kern w:val="0"/>
                <w:vertAlign w:val="superscript"/>
              </w:rPr>
              <w:t>＊</w:t>
            </w:r>
            <w:r>
              <w:rPr>
                <w:rFonts w:hint="eastAsia"/>
              </w:rPr>
              <w:t>の設置</w:t>
            </w:r>
          </w:p>
          <w:p>
            <w:pPr>
              <w:pStyle w:val="0"/>
              <w:spacing w:line="360" w:lineRule="exact"/>
              <w:rPr>
                <w:rFonts w:hint="default"/>
              </w:rPr>
            </w:pPr>
            <w:r>
              <w:rPr>
                <w:rFonts w:hint="eastAsia"/>
              </w:rPr>
              <w:t>②保育所・学校における看護師等の配置</w:t>
            </w:r>
          </w:p>
        </w:tc>
      </w:tr>
    </w:tbl>
    <w:p>
      <w:pPr>
        <w:pStyle w:val="0"/>
        <w:outlineLvl w:val="1"/>
        <w:rPr>
          <w:rFonts w:hint="eastAsia"/>
        </w:rPr>
      </w:pPr>
      <w:r>
        <w:rPr>
          <w:rFonts w:hint="default"/>
        </w:rPr>
        <w:br w:type="page"/>
      </w:r>
      <w:bookmarkStart w:id="19" w:name="_Toc500152688"/>
      <w:bookmarkEnd w:id="19"/>
      <w:bookmarkStart w:id="20" w:name="_Toc500152692"/>
      <w:bookmarkEnd w:id="20"/>
      <w:bookmarkStart w:id="21" w:name="_Toc500152694"/>
      <w:bookmarkEnd w:id="21"/>
      <w:bookmarkStart w:id="22" w:name="_Toc500152695"/>
      <w:bookmarkEnd w:id="22"/>
      <w:bookmarkStart w:id="23" w:name="_Toc500152696"/>
      <w:bookmarkEnd w:id="23"/>
    </w:p>
    <w:p>
      <w:pPr>
        <w:pStyle w:val="0"/>
        <w:adjustRightInd w:val="0"/>
        <w:ind w:left="240" w:hanging="240" w:hangingChars="100"/>
        <w:rPr>
          <w:rFonts w:hint="default" w:ascii="ＭＳ ゴシック" w:hAnsi="ＭＳ ゴシック" w:eastAsia="ＭＳ ゴシック"/>
          <w:sz w:val="26"/>
        </w:rPr>
      </w:pPr>
      <w:bookmarkStart w:id="24" w:name="_Toc500152697"/>
      <w:bookmarkEnd w:id="24"/>
      <w:bookmarkStart w:id="25" w:name="_Toc500152698"/>
      <w:bookmarkEnd w:id="25"/>
      <w:bookmarkStart w:id="26" w:name="_Toc500152699"/>
      <w:bookmarkEnd w:id="26"/>
      <w:bookmarkStart w:id="27" w:name="_Toc500152867"/>
      <w:bookmarkEnd w:id="27"/>
      <w:bookmarkStart w:id="28" w:name="_Toc500152868"/>
      <w:bookmarkEnd w:id="28"/>
      <w:bookmarkStart w:id="29" w:name="_Toc500152869"/>
      <w:bookmarkEnd w:id="29"/>
      <w:bookmarkStart w:id="30" w:name="_Toc500152870"/>
      <w:bookmarkEnd w:id="30"/>
      <w:bookmarkStart w:id="31" w:name="_Toc500152871"/>
      <w:bookmarkEnd w:id="31"/>
      <w:bookmarkStart w:id="32" w:name="_Toc500152872"/>
      <w:bookmarkEnd w:id="32"/>
      <w:bookmarkStart w:id="33" w:name="_Toc500152873"/>
      <w:bookmarkEnd w:id="33"/>
      <w:r>
        <w:rPr>
          <w:rFonts w:hint="eastAsia" w:ascii="ＭＳ ゴシック" w:hAnsi="ＭＳ ゴシック" w:eastAsia="ＭＳ ゴシック"/>
          <w:sz w:val="26"/>
          <w:u w:val="single" w:color="auto"/>
        </w:rPr>
        <w:t>３　計画期間</w:t>
      </w:r>
    </w:p>
    <w:p>
      <w:pPr>
        <w:pStyle w:val="0"/>
        <w:autoSpaceDE w:val="0"/>
        <w:autoSpaceDN w:val="0"/>
        <w:adjustRightInd w:val="0"/>
        <w:spacing w:line="360" w:lineRule="exact"/>
        <w:ind w:firstLine="240" w:firstLineChars="100"/>
        <w:jc w:val="left"/>
        <w:rPr>
          <w:rFonts w:hint="default"/>
          <w:kern w:val="0"/>
        </w:rPr>
      </w:pPr>
      <w:r>
        <w:rPr>
          <w:rFonts w:hint="eastAsia"/>
          <w:kern w:val="0"/>
        </w:rPr>
        <w:t>第５次静岡県障害者計画の期間は、</w:t>
      </w:r>
      <w:r>
        <w:rPr>
          <w:rFonts w:hint="eastAsia"/>
          <w:kern w:val="0"/>
        </w:rPr>
        <w:t>2022</w:t>
      </w:r>
      <w:r>
        <w:rPr>
          <w:rFonts w:hint="eastAsia"/>
          <w:kern w:val="0"/>
        </w:rPr>
        <w:t>年度から</w:t>
      </w:r>
      <w:r>
        <w:rPr>
          <w:rFonts w:hint="eastAsia"/>
          <w:kern w:val="0"/>
        </w:rPr>
        <w:t>2025</w:t>
      </w:r>
      <w:r>
        <w:rPr>
          <w:rFonts w:hint="eastAsia"/>
          <w:kern w:val="0"/>
        </w:rPr>
        <w:t>年度までの４年間とします。</w:t>
      </w:r>
    </w:p>
    <w:p>
      <w:pPr>
        <w:pStyle w:val="0"/>
        <w:autoSpaceDE w:val="0"/>
        <w:autoSpaceDN w:val="0"/>
        <w:adjustRightInd w:val="0"/>
        <w:spacing w:line="360" w:lineRule="exact"/>
        <w:ind w:firstLine="240" w:firstLineChars="100"/>
        <w:jc w:val="left"/>
        <w:rPr>
          <w:rFonts w:hint="default"/>
        </w:rPr>
      </w:pPr>
      <w:r>
        <w:rPr>
          <w:rFonts w:hint="eastAsia"/>
          <w:kern w:val="0"/>
        </w:rPr>
        <w:t>また、社会情勢の変化等によって必要が生じた場合には、計画の見直しを行うこととします。</w:t>
      </w:r>
    </w:p>
    <w:tbl>
      <w:tblPr>
        <w:tblStyle w:val="11"/>
        <w:tblW w:w="9660"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928"/>
        <w:gridCol w:w="1390"/>
        <w:gridCol w:w="621"/>
        <w:gridCol w:w="7"/>
        <w:gridCol w:w="615"/>
        <w:gridCol w:w="622"/>
        <w:gridCol w:w="622"/>
        <w:gridCol w:w="622"/>
        <w:gridCol w:w="621"/>
        <w:gridCol w:w="622"/>
        <w:gridCol w:w="598"/>
        <w:gridCol w:w="598"/>
        <w:gridCol w:w="598"/>
        <w:gridCol w:w="598"/>
        <w:gridCol w:w="598"/>
      </w:tblGrid>
      <w:tr>
        <w:trPr>
          <w:trHeight w:val="348" w:hRule="atLeast"/>
        </w:trPr>
        <w:tc>
          <w:tcPr>
            <w:tcW w:w="2318" w:type="dxa"/>
            <w:gridSpan w:val="2"/>
            <w:shd w:val="clear" w:color="auto" w:fill="auto"/>
            <w:vAlign w:val="center"/>
          </w:tcPr>
          <w:p>
            <w:pPr>
              <w:pStyle w:val="0"/>
              <w:widowControl w:val="1"/>
              <w:rPr>
                <w:rFonts w:hint="default"/>
                <w:kern w:val="0"/>
                <w:sz w:val="16"/>
              </w:rPr>
            </w:pPr>
          </w:p>
        </w:tc>
        <w:tc>
          <w:tcPr>
            <w:tcW w:w="621" w:type="dxa"/>
            <w:shd w:val="clear" w:color="auto" w:fill="auto"/>
            <w:vAlign w:val="center"/>
          </w:tcPr>
          <w:p>
            <w:pPr>
              <w:pStyle w:val="0"/>
              <w:widowControl w:val="1"/>
              <w:snapToGrid w:val="0"/>
              <w:ind w:left="-120" w:leftChars="-50" w:right="-120" w:rightChars="-50"/>
              <w:jc w:val="center"/>
              <w:rPr>
                <w:rFonts w:hint="default"/>
                <w:kern w:val="0"/>
                <w:sz w:val="18"/>
              </w:rPr>
            </w:pPr>
            <w:r>
              <w:rPr>
                <w:rFonts w:hint="eastAsia"/>
                <w:kern w:val="0"/>
                <w:sz w:val="18"/>
              </w:rPr>
              <w:t>2014</w:t>
            </w:r>
          </w:p>
        </w:tc>
        <w:tc>
          <w:tcPr>
            <w:tcW w:w="622" w:type="dxa"/>
            <w:gridSpan w:val="2"/>
            <w:shd w:val="clear" w:color="auto" w:fill="auto"/>
            <w:vAlign w:val="center"/>
          </w:tcPr>
          <w:p>
            <w:pPr>
              <w:pStyle w:val="0"/>
              <w:widowControl w:val="1"/>
              <w:snapToGrid w:val="0"/>
              <w:ind w:left="-120" w:leftChars="-50" w:right="-120" w:rightChars="-50"/>
              <w:jc w:val="center"/>
              <w:rPr>
                <w:rFonts w:hint="default"/>
                <w:kern w:val="0"/>
                <w:sz w:val="18"/>
              </w:rPr>
            </w:pPr>
            <w:r>
              <w:rPr>
                <w:rFonts w:hint="eastAsia"/>
                <w:kern w:val="0"/>
                <w:sz w:val="18"/>
              </w:rPr>
              <w:t>2015</w:t>
            </w:r>
          </w:p>
        </w:tc>
        <w:tc>
          <w:tcPr>
            <w:tcW w:w="622" w:type="dxa"/>
            <w:shd w:val="clear" w:color="auto" w:fill="auto"/>
            <w:vAlign w:val="center"/>
          </w:tcPr>
          <w:p>
            <w:pPr>
              <w:pStyle w:val="0"/>
              <w:widowControl w:val="1"/>
              <w:snapToGrid w:val="0"/>
              <w:ind w:left="-120" w:leftChars="-50" w:right="-120" w:rightChars="-50"/>
              <w:jc w:val="center"/>
              <w:rPr>
                <w:rFonts w:hint="default"/>
                <w:kern w:val="0"/>
                <w:sz w:val="18"/>
              </w:rPr>
            </w:pPr>
            <w:r>
              <w:rPr>
                <w:rFonts w:hint="eastAsia"/>
                <w:kern w:val="0"/>
                <w:sz w:val="18"/>
              </w:rPr>
              <w:t>2016</w:t>
            </w:r>
          </w:p>
        </w:tc>
        <w:tc>
          <w:tcPr>
            <w:tcW w:w="622" w:type="dxa"/>
            <w:shd w:val="clear" w:color="auto" w:fill="auto"/>
            <w:vAlign w:val="center"/>
          </w:tcPr>
          <w:p>
            <w:pPr>
              <w:pStyle w:val="0"/>
              <w:widowControl w:val="1"/>
              <w:snapToGrid w:val="0"/>
              <w:ind w:left="-120" w:leftChars="-50" w:right="-120" w:rightChars="-50"/>
              <w:jc w:val="center"/>
              <w:rPr>
                <w:rFonts w:hint="default"/>
                <w:kern w:val="0"/>
                <w:sz w:val="18"/>
              </w:rPr>
            </w:pPr>
            <w:r>
              <w:rPr>
                <w:rFonts w:hint="eastAsia"/>
                <w:kern w:val="0"/>
                <w:sz w:val="18"/>
              </w:rPr>
              <w:t>2017</w:t>
            </w:r>
          </w:p>
        </w:tc>
        <w:tc>
          <w:tcPr>
            <w:tcW w:w="622" w:type="dxa"/>
            <w:shd w:val="clear" w:color="auto" w:fill="auto"/>
            <w:vAlign w:val="center"/>
          </w:tcPr>
          <w:p>
            <w:pPr>
              <w:pStyle w:val="0"/>
              <w:widowControl w:val="1"/>
              <w:snapToGrid w:val="0"/>
              <w:ind w:left="-120" w:leftChars="-50" w:right="-120" w:rightChars="-50"/>
              <w:jc w:val="center"/>
              <w:rPr>
                <w:rFonts w:hint="default"/>
                <w:kern w:val="0"/>
                <w:sz w:val="18"/>
              </w:rPr>
            </w:pPr>
            <w:r>
              <w:rPr>
                <w:rFonts w:hint="eastAsia"/>
                <w:kern w:val="0"/>
                <w:sz w:val="18"/>
              </w:rPr>
              <w:t>2018</w:t>
            </w:r>
          </w:p>
        </w:tc>
        <w:tc>
          <w:tcPr>
            <w:tcW w:w="621" w:type="dxa"/>
            <w:shd w:val="clear" w:color="auto" w:fill="auto"/>
            <w:vAlign w:val="center"/>
          </w:tcPr>
          <w:p>
            <w:pPr>
              <w:pStyle w:val="0"/>
              <w:widowControl w:val="1"/>
              <w:snapToGrid w:val="0"/>
              <w:ind w:left="-120" w:leftChars="-50" w:right="-120" w:rightChars="-50"/>
              <w:jc w:val="center"/>
              <w:rPr>
                <w:rFonts w:hint="default"/>
                <w:kern w:val="0"/>
                <w:sz w:val="18"/>
              </w:rPr>
            </w:pPr>
            <w:r>
              <w:rPr>
                <w:rFonts w:hint="eastAsia"/>
                <w:kern w:val="0"/>
                <w:sz w:val="18"/>
              </w:rPr>
              <w:t>2019</w:t>
            </w:r>
          </w:p>
        </w:tc>
        <w:tc>
          <w:tcPr>
            <w:tcW w:w="622" w:type="dxa"/>
            <w:shd w:val="clear" w:color="auto" w:fill="auto"/>
            <w:vAlign w:val="center"/>
          </w:tcPr>
          <w:p>
            <w:pPr>
              <w:pStyle w:val="0"/>
              <w:widowControl w:val="1"/>
              <w:snapToGrid w:val="0"/>
              <w:ind w:left="-120" w:leftChars="-50" w:right="-120" w:rightChars="-50"/>
              <w:jc w:val="center"/>
              <w:rPr>
                <w:rFonts w:hint="default"/>
                <w:kern w:val="0"/>
                <w:sz w:val="18"/>
              </w:rPr>
            </w:pPr>
            <w:r>
              <w:rPr>
                <w:rFonts w:hint="eastAsia"/>
                <w:kern w:val="0"/>
                <w:sz w:val="18"/>
              </w:rPr>
              <w:t>2020</w:t>
            </w:r>
          </w:p>
        </w:tc>
        <w:tc>
          <w:tcPr>
            <w:tcW w:w="598" w:type="dxa"/>
            <w:shd w:val="clear" w:color="auto" w:fill="auto"/>
            <w:vAlign w:val="center"/>
          </w:tcPr>
          <w:p>
            <w:pPr>
              <w:pStyle w:val="0"/>
              <w:widowControl w:val="1"/>
              <w:snapToGrid w:val="0"/>
              <w:ind w:left="-120" w:leftChars="-50" w:right="-120" w:rightChars="-50"/>
              <w:jc w:val="center"/>
              <w:rPr>
                <w:rFonts w:hint="default"/>
                <w:kern w:val="0"/>
                <w:sz w:val="18"/>
              </w:rPr>
            </w:pPr>
            <w:r>
              <w:rPr>
                <w:rFonts w:hint="eastAsia"/>
                <w:kern w:val="0"/>
                <w:sz w:val="18"/>
              </w:rPr>
              <w:t>2021</w:t>
            </w:r>
          </w:p>
        </w:tc>
        <w:tc>
          <w:tcPr>
            <w:tcW w:w="598" w:type="dxa"/>
            <w:shd w:val="clear" w:color="auto" w:fill="auto"/>
            <w:vAlign w:val="center"/>
          </w:tcPr>
          <w:p>
            <w:pPr>
              <w:pStyle w:val="0"/>
              <w:widowControl w:val="1"/>
              <w:snapToGrid w:val="0"/>
              <w:ind w:left="-120" w:leftChars="-50" w:right="-120" w:rightChars="-50"/>
              <w:jc w:val="center"/>
              <w:rPr>
                <w:rFonts w:hint="default"/>
                <w:kern w:val="0"/>
                <w:sz w:val="18"/>
              </w:rPr>
            </w:pPr>
            <w:r>
              <w:rPr>
                <w:rFonts w:hint="eastAsia"/>
                <w:kern w:val="0"/>
                <w:sz w:val="18"/>
              </w:rPr>
              <w:t>2022</w:t>
            </w:r>
          </w:p>
        </w:tc>
        <w:tc>
          <w:tcPr>
            <w:tcW w:w="598" w:type="dxa"/>
            <w:shd w:val="clear" w:color="auto" w:fill="auto"/>
            <w:vAlign w:val="center"/>
          </w:tcPr>
          <w:p>
            <w:pPr>
              <w:pStyle w:val="0"/>
              <w:widowControl w:val="1"/>
              <w:snapToGrid w:val="0"/>
              <w:ind w:left="-120" w:leftChars="-50" w:right="-120" w:rightChars="-50"/>
              <w:jc w:val="center"/>
              <w:rPr>
                <w:rFonts w:hint="default"/>
                <w:kern w:val="0"/>
                <w:sz w:val="18"/>
              </w:rPr>
            </w:pPr>
            <w:r>
              <w:rPr>
                <w:rFonts w:hint="eastAsia"/>
                <w:kern w:val="0"/>
                <w:sz w:val="18"/>
              </w:rPr>
              <w:t>2023</w:t>
            </w:r>
          </w:p>
        </w:tc>
        <w:tc>
          <w:tcPr>
            <w:tcW w:w="598" w:type="dxa"/>
            <w:shd w:val="clear" w:color="auto" w:fill="auto"/>
            <w:vAlign w:val="center"/>
          </w:tcPr>
          <w:p>
            <w:pPr>
              <w:pStyle w:val="0"/>
              <w:widowControl w:val="1"/>
              <w:snapToGrid w:val="0"/>
              <w:ind w:left="-120" w:leftChars="-50" w:right="-120" w:rightChars="-50"/>
              <w:jc w:val="center"/>
              <w:rPr>
                <w:rFonts w:hint="default"/>
                <w:kern w:val="0"/>
                <w:sz w:val="18"/>
              </w:rPr>
            </w:pPr>
            <w:r>
              <w:rPr>
                <w:rFonts w:hint="eastAsia"/>
                <w:kern w:val="0"/>
                <w:sz w:val="18"/>
              </w:rPr>
              <w:t>2024</w:t>
            </w:r>
          </w:p>
        </w:tc>
        <w:tc>
          <w:tcPr>
            <w:tcW w:w="598" w:type="dxa"/>
            <w:shd w:val="clear" w:color="auto" w:fill="auto"/>
            <w:vAlign w:val="center"/>
          </w:tcPr>
          <w:p>
            <w:pPr>
              <w:pStyle w:val="0"/>
              <w:widowControl w:val="1"/>
              <w:snapToGrid w:val="0"/>
              <w:ind w:left="-120" w:leftChars="-50" w:right="-120" w:rightChars="-50"/>
              <w:jc w:val="center"/>
              <w:rPr>
                <w:rFonts w:hint="default"/>
                <w:kern w:val="0"/>
                <w:sz w:val="18"/>
              </w:rPr>
            </w:pPr>
            <w:r>
              <w:rPr>
                <w:rFonts w:hint="eastAsia"/>
                <w:kern w:val="0"/>
                <w:sz w:val="18"/>
              </w:rPr>
              <w:t>2025</w:t>
            </w:r>
          </w:p>
        </w:tc>
      </w:tr>
      <w:tr>
        <w:trPr>
          <w:trHeight w:val="512" w:hRule="atLeast"/>
        </w:trPr>
        <w:tc>
          <w:tcPr>
            <w:tcW w:w="2318" w:type="dxa"/>
            <w:gridSpan w:val="2"/>
            <w:shd w:val="clear" w:color="auto" w:fill="auto"/>
            <w:vAlign w:val="center"/>
          </w:tcPr>
          <w:p>
            <w:pPr>
              <w:pStyle w:val="0"/>
              <w:widowControl w:val="1"/>
              <w:rPr>
                <w:rFonts w:hint="default"/>
                <w:kern w:val="0"/>
                <w:sz w:val="22"/>
              </w:rPr>
            </w:pPr>
            <w:r>
              <w:rPr>
                <w:rFonts w:hint="eastAsia"/>
                <w:kern w:val="0"/>
                <w:sz w:val="22"/>
              </w:rPr>
              <w:t>総合計画</w:t>
            </w:r>
          </w:p>
        </w:tc>
        <w:tc>
          <w:tcPr>
            <w:tcW w:w="2487" w:type="dxa"/>
            <w:gridSpan w:val="5"/>
            <w:shd w:val="clear" w:color="auto" w:fill="auto"/>
            <w:vAlign w:val="center"/>
          </w:tcPr>
          <w:p>
            <w:pPr>
              <w:pStyle w:val="0"/>
              <w:widowControl w:val="1"/>
              <w:jc w:val="center"/>
              <w:rPr>
                <w:rFonts w:hint="default"/>
                <w:kern w:val="0"/>
                <w:sz w:val="22"/>
              </w:rPr>
            </w:pPr>
            <w:r>
              <w:rPr>
                <w:rFonts w:hint="eastAsia"/>
                <w:kern w:val="0"/>
                <w:sz w:val="22"/>
              </w:rPr>
              <w:t>旧総合計画</w:t>
            </w:r>
          </w:p>
          <w:p>
            <w:pPr>
              <w:pStyle w:val="0"/>
              <w:widowControl w:val="1"/>
              <w:jc w:val="center"/>
              <w:rPr>
                <w:rFonts w:hint="default"/>
                <w:kern w:val="0"/>
                <w:sz w:val="22"/>
              </w:rPr>
            </w:pPr>
            <w:r>
              <w:rPr>
                <w:rFonts w:hint="eastAsia"/>
                <w:kern w:val="0"/>
                <w:sz w:val="22"/>
              </w:rPr>
              <w:t>～</w:t>
            </w:r>
            <w:r>
              <w:rPr>
                <w:rFonts w:hint="eastAsia"/>
                <w:kern w:val="0"/>
                <w:sz w:val="22"/>
              </w:rPr>
              <w:t>2017</w:t>
            </w:r>
          </w:p>
        </w:tc>
        <w:tc>
          <w:tcPr>
            <w:tcW w:w="2463" w:type="dxa"/>
            <w:gridSpan w:val="4"/>
            <w:shd w:val="clear" w:color="auto" w:fill="auto"/>
            <w:vAlign w:val="center"/>
          </w:tcPr>
          <w:p>
            <w:pPr>
              <w:pStyle w:val="0"/>
              <w:widowControl w:val="1"/>
              <w:jc w:val="center"/>
              <w:rPr>
                <w:rFonts w:hint="default"/>
                <w:kern w:val="0"/>
                <w:sz w:val="22"/>
              </w:rPr>
            </w:pPr>
            <w:r>
              <w:rPr>
                <w:rFonts w:hint="eastAsia"/>
                <w:kern w:val="0"/>
                <w:sz w:val="22"/>
              </w:rPr>
              <w:t>総合計画（前期）</w:t>
            </w:r>
          </w:p>
          <w:p>
            <w:pPr>
              <w:pStyle w:val="0"/>
              <w:widowControl w:val="1"/>
              <w:jc w:val="center"/>
              <w:rPr>
                <w:rFonts w:hint="default"/>
                <w:kern w:val="0"/>
                <w:sz w:val="22"/>
              </w:rPr>
            </w:pPr>
            <w:r>
              <w:rPr>
                <w:rFonts w:hint="eastAsia"/>
                <w:kern w:val="0"/>
                <w:sz w:val="22"/>
              </w:rPr>
              <w:t>2018</w:t>
            </w:r>
            <w:r>
              <w:rPr>
                <w:rFonts w:hint="eastAsia"/>
                <w:kern w:val="0"/>
                <w:sz w:val="22"/>
              </w:rPr>
              <w:t>～</w:t>
            </w:r>
            <w:r>
              <w:rPr>
                <w:rFonts w:hint="eastAsia"/>
                <w:kern w:val="0"/>
                <w:sz w:val="22"/>
              </w:rPr>
              <w:t>2021</w:t>
            </w:r>
          </w:p>
        </w:tc>
        <w:tc>
          <w:tcPr>
            <w:tcW w:w="2392" w:type="dxa"/>
            <w:gridSpan w:val="4"/>
            <w:shd w:val="clear" w:color="auto" w:fill="auto"/>
            <w:vAlign w:val="center"/>
          </w:tcPr>
          <w:p>
            <w:pPr>
              <w:pStyle w:val="0"/>
              <w:jc w:val="center"/>
              <w:rPr>
                <w:rFonts w:hint="default"/>
              </w:rPr>
            </w:pPr>
            <w:r>
              <w:rPr>
                <w:rFonts w:hint="eastAsia"/>
                <w:kern w:val="0"/>
                <w:sz w:val="22"/>
              </w:rPr>
              <w:t>総合計画（後期）</w:t>
            </w:r>
          </w:p>
          <w:p>
            <w:pPr>
              <w:pStyle w:val="0"/>
              <w:jc w:val="center"/>
              <w:rPr>
                <w:rFonts w:hint="default"/>
              </w:rPr>
            </w:pPr>
            <w:r>
              <w:rPr>
                <w:rFonts w:hint="eastAsia"/>
              </w:rPr>
              <w:t>2022</w:t>
            </w:r>
            <w:r>
              <w:rPr>
                <w:rFonts w:hint="eastAsia"/>
              </w:rPr>
              <w:t>～</w:t>
            </w:r>
            <w:r>
              <w:rPr>
                <w:rFonts w:hint="eastAsia"/>
              </w:rPr>
              <w:t>2025</w:t>
            </w:r>
          </w:p>
        </w:tc>
      </w:tr>
      <w:tr>
        <w:trPr>
          <w:trHeight w:val="512" w:hRule="atLeast"/>
        </w:trPr>
        <w:tc>
          <w:tcPr>
            <w:tcW w:w="928" w:type="dxa"/>
            <w:vMerge w:val="restart"/>
            <w:shd w:val="clear" w:color="auto" w:fill="auto"/>
            <w:vAlign w:val="center"/>
          </w:tcPr>
          <w:p>
            <w:pPr>
              <w:pStyle w:val="0"/>
              <w:widowControl w:val="1"/>
              <w:adjustRightInd w:val="0"/>
              <w:snapToGrid w:val="0"/>
              <w:ind w:left="67" w:leftChars="-28" w:right="-120" w:rightChars="-50" w:hanging="134" w:hangingChars="84"/>
              <w:jc w:val="center"/>
              <w:rPr>
                <w:rFonts w:hint="default"/>
                <w:kern w:val="0"/>
                <w:sz w:val="16"/>
              </w:rPr>
            </w:pPr>
            <w:r>
              <w:rPr>
                <w:rFonts w:hint="eastAsia"/>
                <w:kern w:val="0"/>
                <w:sz w:val="16"/>
              </w:rPr>
              <w:t>ふじのくに</w:t>
            </w:r>
          </w:p>
          <w:p>
            <w:pPr>
              <w:pStyle w:val="0"/>
              <w:widowControl w:val="1"/>
              <w:adjustRightInd w:val="0"/>
              <w:snapToGrid w:val="0"/>
              <w:ind w:left="-67" w:leftChars="-28" w:right="-120" w:rightChars="-50"/>
              <w:jc w:val="center"/>
              <w:rPr>
                <w:rFonts w:hint="default"/>
                <w:kern w:val="0"/>
                <w:sz w:val="16"/>
              </w:rPr>
            </w:pPr>
            <w:r>
              <w:rPr>
                <w:rFonts w:hint="eastAsia"/>
                <w:kern w:val="0"/>
                <w:sz w:val="16"/>
              </w:rPr>
              <w:t>障　害　者</w:t>
            </w:r>
          </w:p>
          <w:p>
            <w:pPr>
              <w:pStyle w:val="0"/>
              <w:widowControl w:val="1"/>
              <w:adjustRightInd w:val="0"/>
              <w:snapToGrid w:val="0"/>
              <w:ind w:left="-67" w:leftChars="-28" w:right="-120" w:rightChars="-50"/>
              <w:jc w:val="center"/>
              <w:rPr>
                <w:rFonts w:hint="default"/>
                <w:kern w:val="0"/>
                <w:sz w:val="17"/>
              </w:rPr>
            </w:pPr>
            <w:r>
              <w:rPr>
                <w:rFonts w:hint="eastAsia"/>
                <w:w w:val="75"/>
                <w:kern w:val="0"/>
                <w:sz w:val="16"/>
                <w:fitText w:val="840" w:id="2"/>
              </w:rPr>
              <w:t>しあわせプラン</w:t>
            </w:r>
          </w:p>
        </w:tc>
        <w:tc>
          <w:tcPr>
            <w:tcW w:w="1390" w:type="dxa"/>
            <w:shd w:val="clear" w:color="auto" w:fill="auto"/>
            <w:vAlign w:val="center"/>
          </w:tcPr>
          <w:p>
            <w:pPr>
              <w:pStyle w:val="0"/>
              <w:widowControl w:val="1"/>
              <w:snapToGrid w:val="0"/>
              <w:ind w:left="-120" w:leftChars="-50" w:right="-120" w:rightChars="-50"/>
              <w:jc w:val="center"/>
              <w:rPr>
                <w:rFonts w:hint="default"/>
                <w:kern w:val="0"/>
                <w:sz w:val="16"/>
              </w:rPr>
            </w:pPr>
            <w:r>
              <w:rPr>
                <w:rFonts w:hint="eastAsia"/>
                <w:spacing w:val="40"/>
                <w:kern w:val="0"/>
                <w:sz w:val="16"/>
                <w:fitText w:val="1120" w:id="3"/>
              </w:rPr>
              <w:t>障害者計</w:t>
            </w:r>
            <w:r>
              <w:rPr>
                <w:rFonts w:hint="eastAsia"/>
                <w:kern w:val="0"/>
                <w:sz w:val="16"/>
                <w:fitText w:val="1120" w:id="3"/>
              </w:rPr>
              <w:t>画</w:t>
            </w:r>
          </w:p>
          <w:p>
            <w:pPr>
              <w:pStyle w:val="0"/>
              <w:widowControl w:val="1"/>
              <w:snapToGrid w:val="0"/>
              <w:ind w:left="-120" w:leftChars="-50" w:right="-120" w:rightChars="-50"/>
              <w:jc w:val="center"/>
              <w:rPr>
                <w:rFonts w:hint="default"/>
                <w:kern w:val="0"/>
                <w:sz w:val="16"/>
              </w:rPr>
            </w:pPr>
            <w:r>
              <w:rPr>
                <w:rFonts w:hint="eastAsia"/>
                <w:w w:val="90"/>
                <w:kern w:val="0"/>
                <w:sz w:val="16"/>
              </w:rPr>
              <w:t>（</w:t>
            </w:r>
            <w:r>
              <w:rPr>
                <w:rFonts w:hint="eastAsia"/>
                <w:spacing w:val="25"/>
                <w:w w:val="90"/>
                <w:kern w:val="0"/>
                <w:sz w:val="16"/>
                <w:fitText w:val="1120" w:id="4"/>
              </w:rPr>
              <w:t>障害者基本</w:t>
            </w:r>
            <w:r>
              <w:rPr>
                <w:rFonts w:hint="eastAsia"/>
                <w:spacing w:val="3"/>
                <w:w w:val="90"/>
                <w:kern w:val="0"/>
                <w:sz w:val="16"/>
                <w:fitText w:val="1120" w:id="4"/>
              </w:rPr>
              <w:t>法</w:t>
            </w:r>
            <w:r>
              <w:rPr>
                <w:rFonts w:hint="eastAsia"/>
                <w:w w:val="90"/>
                <w:kern w:val="0"/>
                <w:sz w:val="16"/>
              </w:rPr>
              <w:t>）</w:t>
            </w:r>
          </w:p>
        </w:tc>
        <w:tc>
          <w:tcPr>
            <w:tcW w:w="2487" w:type="dxa"/>
            <w:gridSpan w:val="5"/>
            <w:shd w:val="clear" w:color="auto" w:fill="auto"/>
            <w:vAlign w:val="center"/>
          </w:tcPr>
          <w:p>
            <w:pPr>
              <w:pStyle w:val="0"/>
              <w:widowControl w:val="1"/>
              <w:jc w:val="center"/>
              <w:rPr>
                <w:rFonts w:hint="default"/>
                <w:kern w:val="0"/>
                <w:sz w:val="22"/>
              </w:rPr>
            </w:pPr>
            <w:r>
              <w:rPr>
                <w:rFonts w:hint="eastAsia"/>
                <w:kern w:val="0"/>
                <w:sz w:val="22"/>
              </w:rPr>
              <w:t>第３次</w:t>
            </w:r>
          </w:p>
          <w:p>
            <w:pPr>
              <w:pStyle w:val="0"/>
              <w:widowControl w:val="1"/>
              <w:jc w:val="center"/>
              <w:rPr>
                <w:rFonts w:hint="default"/>
                <w:kern w:val="0"/>
                <w:sz w:val="22"/>
              </w:rPr>
            </w:pPr>
            <w:r>
              <w:rPr>
                <w:rFonts w:hint="eastAsia"/>
                <w:kern w:val="0"/>
                <w:sz w:val="22"/>
              </w:rPr>
              <w:t>2013</w:t>
            </w:r>
            <w:r>
              <w:rPr>
                <w:rFonts w:hint="eastAsia"/>
                <w:kern w:val="0"/>
                <w:sz w:val="22"/>
              </w:rPr>
              <w:t>～</w:t>
            </w:r>
            <w:r>
              <w:rPr>
                <w:rFonts w:hint="eastAsia"/>
                <w:kern w:val="0"/>
                <w:sz w:val="22"/>
              </w:rPr>
              <w:t>2017</w:t>
            </w:r>
          </w:p>
        </w:tc>
        <w:tc>
          <w:tcPr>
            <w:tcW w:w="2463" w:type="dxa"/>
            <w:gridSpan w:val="4"/>
            <w:shd w:val="clear" w:color="auto" w:fill="auto"/>
            <w:vAlign w:val="center"/>
          </w:tcPr>
          <w:p>
            <w:pPr>
              <w:pStyle w:val="0"/>
              <w:widowControl w:val="1"/>
              <w:jc w:val="center"/>
              <w:rPr>
                <w:rFonts w:hint="default"/>
                <w:kern w:val="0"/>
                <w:sz w:val="22"/>
              </w:rPr>
            </w:pPr>
            <w:r>
              <w:rPr>
                <w:rFonts w:hint="eastAsia"/>
                <w:kern w:val="0"/>
                <w:sz w:val="22"/>
              </w:rPr>
              <w:t>第４次</w:t>
            </w:r>
          </w:p>
          <w:p>
            <w:pPr>
              <w:pStyle w:val="0"/>
              <w:widowControl w:val="1"/>
              <w:jc w:val="center"/>
              <w:rPr>
                <w:rFonts w:hint="default"/>
                <w:kern w:val="0"/>
                <w:sz w:val="22"/>
              </w:rPr>
            </w:pPr>
            <w:r>
              <w:rPr>
                <w:rFonts w:hint="eastAsia"/>
                <w:kern w:val="0"/>
                <w:sz w:val="22"/>
              </w:rPr>
              <w:t>2018</w:t>
            </w:r>
            <w:r>
              <w:rPr>
                <w:rFonts w:hint="eastAsia"/>
                <w:kern w:val="0"/>
                <w:sz w:val="22"/>
              </w:rPr>
              <w:t>～</w:t>
            </w:r>
            <w:r>
              <w:rPr>
                <w:rFonts w:hint="eastAsia"/>
                <w:kern w:val="0"/>
                <w:sz w:val="22"/>
              </w:rPr>
              <w:t>2021</w:t>
            </w:r>
          </w:p>
        </w:tc>
        <w:tc>
          <w:tcPr>
            <w:tcW w:w="2392" w:type="dxa"/>
            <w:gridSpan w:val="4"/>
            <w:shd w:val="clear" w:color="auto" w:fill="auto"/>
            <w:vAlign w:val="center"/>
          </w:tcPr>
          <w:p>
            <w:pPr>
              <w:pStyle w:val="0"/>
              <w:jc w:val="center"/>
              <w:rPr>
                <w:rFonts w:hint="default"/>
              </w:rPr>
            </w:pPr>
            <w:r>
              <w:rPr>
                <w:rFonts w:hint="eastAsia"/>
              </w:rPr>
              <w:t>第５次</w:t>
            </w:r>
          </w:p>
          <w:p>
            <w:pPr>
              <w:pStyle w:val="0"/>
              <w:jc w:val="center"/>
              <w:rPr>
                <w:rFonts w:hint="default"/>
              </w:rPr>
            </w:pPr>
            <w:r>
              <w:rPr>
                <w:rFonts w:hint="eastAsia"/>
              </w:rPr>
              <w:t>2022</w:t>
            </w:r>
            <w:r>
              <w:rPr>
                <w:rFonts w:hint="eastAsia"/>
              </w:rPr>
              <w:t>～</w:t>
            </w:r>
            <w:r>
              <w:rPr>
                <w:rFonts w:hint="eastAsia"/>
              </w:rPr>
              <w:t>2025</w:t>
            </w:r>
          </w:p>
        </w:tc>
      </w:tr>
      <w:tr>
        <w:trPr>
          <w:trHeight w:val="576" w:hRule="atLeast"/>
        </w:trPr>
        <w:tc>
          <w:tcPr>
            <w:tcW w:w="928" w:type="dxa"/>
            <w:vMerge w:val="continue"/>
            <w:vAlign w:val="center"/>
          </w:tcPr>
          <w:p>
            <w:pPr>
              <w:pStyle w:val="0"/>
              <w:widowControl w:val="1"/>
              <w:snapToGrid w:val="0"/>
              <w:jc w:val="left"/>
              <w:rPr>
                <w:rFonts w:hint="default"/>
                <w:kern w:val="0"/>
                <w:sz w:val="18"/>
              </w:rPr>
            </w:pPr>
          </w:p>
        </w:tc>
        <w:tc>
          <w:tcPr>
            <w:tcW w:w="1390" w:type="dxa"/>
            <w:shd w:val="clear" w:color="auto" w:fill="auto"/>
            <w:vAlign w:val="center"/>
          </w:tcPr>
          <w:p>
            <w:pPr>
              <w:pStyle w:val="0"/>
              <w:snapToGrid w:val="0"/>
              <w:ind w:left="-105" w:leftChars="-50" w:right="-120" w:rightChars="-50" w:hanging="15" w:hangingChars="8"/>
              <w:jc w:val="center"/>
              <w:rPr>
                <w:rFonts w:hint="default"/>
                <w:kern w:val="0"/>
                <w:sz w:val="16"/>
              </w:rPr>
            </w:pPr>
            <w:r>
              <w:rPr>
                <w:rFonts w:hint="eastAsia"/>
                <w:spacing w:val="16"/>
                <w:kern w:val="0"/>
                <w:sz w:val="16"/>
                <w:fitText w:val="1120" w:id="5"/>
              </w:rPr>
              <w:t>障害福祉計</w:t>
            </w:r>
            <w:r>
              <w:rPr>
                <w:rFonts w:hint="eastAsia"/>
                <w:kern w:val="0"/>
                <w:sz w:val="16"/>
                <w:fitText w:val="1120" w:id="5"/>
              </w:rPr>
              <w:t>画</w:t>
            </w:r>
          </w:p>
          <w:p>
            <w:pPr>
              <w:pStyle w:val="0"/>
              <w:snapToGrid w:val="0"/>
              <w:ind w:left="-107" w:leftChars="-50" w:right="-120" w:rightChars="-50" w:hanging="13" w:hangingChars="8"/>
              <w:jc w:val="center"/>
              <w:rPr>
                <w:rFonts w:hint="default"/>
                <w:kern w:val="0"/>
                <w:sz w:val="16"/>
              </w:rPr>
            </w:pPr>
            <w:r>
              <w:rPr>
                <w:rFonts w:hint="eastAsia"/>
                <w:w w:val="90"/>
                <w:kern w:val="0"/>
                <w:sz w:val="16"/>
              </w:rPr>
              <w:t>（</w:t>
            </w:r>
            <w:r>
              <w:rPr>
                <w:rFonts w:hint="eastAsia"/>
                <w:spacing w:val="0"/>
                <w:w w:val="87"/>
                <w:kern w:val="0"/>
                <w:sz w:val="16"/>
                <w:fitText w:val="1120" w:id="6"/>
              </w:rPr>
              <w:t>障害者総合支援</w:t>
            </w:r>
            <w:r>
              <w:rPr>
                <w:rFonts w:hint="eastAsia"/>
                <w:spacing w:val="5"/>
                <w:w w:val="87"/>
                <w:kern w:val="0"/>
                <w:sz w:val="16"/>
                <w:fitText w:val="1120" w:id="6"/>
              </w:rPr>
              <w:t>法</w:t>
            </w:r>
            <w:r>
              <w:rPr>
                <w:rFonts w:hint="eastAsia"/>
                <w:w w:val="90"/>
                <w:kern w:val="0"/>
                <w:sz w:val="16"/>
              </w:rPr>
              <w:t>）</w:t>
            </w:r>
          </w:p>
        </w:tc>
        <w:tc>
          <w:tcPr>
            <w:tcW w:w="628" w:type="dxa"/>
            <w:gridSpan w:val="2"/>
            <w:shd w:val="clear" w:color="auto" w:fill="auto"/>
            <w:vAlign w:val="center"/>
          </w:tcPr>
          <w:p>
            <w:pPr>
              <w:pStyle w:val="0"/>
              <w:widowControl w:val="1"/>
              <w:jc w:val="center"/>
              <w:rPr>
                <w:rFonts w:hint="default"/>
                <w:kern w:val="0"/>
                <w:sz w:val="22"/>
              </w:rPr>
            </w:pPr>
            <w:r>
              <w:rPr>
                <w:rFonts w:hint="eastAsia"/>
                <w:w w:val="80"/>
                <w:kern w:val="0"/>
                <w:sz w:val="18"/>
              </w:rPr>
              <w:t>第</w:t>
            </w:r>
            <w:r>
              <w:rPr>
                <w:rFonts w:hint="eastAsia"/>
                <w:w w:val="80"/>
                <w:kern w:val="0"/>
                <w:sz w:val="18"/>
              </w:rPr>
              <w:t>3</w:t>
            </w:r>
            <w:r>
              <w:rPr>
                <w:rFonts w:hint="eastAsia"/>
                <w:w w:val="80"/>
                <w:kern w:val="0"/>
                <w:sz w:val="18"/>
              </w:rPr>
              <w:t>期</w:t>
            </w:r>
          </w:p>
          <w:p>
            <w:pPr>
              <w:pStyle w:val="0"/>
              <w:widowControl w:val="1"/>
              <w:jc w:val="center"/>
              <w:rPr>
                <w:rFonts w:hint="default"/>
                <w:kern w:val="0"/>
                <w:sz w:val="22"/>
              </w:rPr>
            </w:pPr>
            <w:r>
              <w:rPr>
                <w:rFonts w:hint="eastAsia"/>
                <w:w w:val="80"/>
                <w:kern w:val="0"/>
                <w:sz w:val="16"/>
              </w:rPr>
              <w:t>～</w:t>
            </w:r>
            <w:r>
              <w:rPr>
                <w:rFonts w:hint="eastAsia"/>
                <w:w w:val="80"/>
                <w:kern w:val="0"/>
                <w:sz w:val="16"/>
              </w:rPr>
              <w:t>2014</w:t>
            </w:r>
          </w:p>
        </w:tc>
        <w:tc>
          <w:tcPr>
            <w:tcW w:w="1859" w:type="dxa"/>
            <w:gridSpan w:val="3"/>
            <w:shd w:val="clear" w:color="auto" w:fill="auto"/>
            <w:vAlign w:val="center"/>
          </w:tcPr>
          <w:p>
            <w:pPr>
              <w:pStyle w:val="0"/>
              <w:widowControl w:val="1"/>
              <w:jc w:val="center"/>
              <w:rPr>
                <w:rFonts w:hint="default"/>
                <w:kern w:val="0"/>
                <w:sz w:val="22"/>
              </w:rPr>
            </w:pPr>
            <w:r>
              <w:rPr>
                <w:rFonts w:hint="eastAsia"/>
                <w:kern w:val="0"/>
                <w:sz w:val="22"/>
              </w:rPr>
              <w:t>第４期</w:t>
            </w:r>
          </w:p>
          <w:p>
            <w:pPr>
              <w:pStyle w:val="0"/>
              <w:widowControl w:val="1"/>
              <w:jc w:val="center"/>
              <w:rPr>
                <w:rFonts w:hint="default"/>
                <w:kern w:val="0"/>
                <w:sz w:val="22"/>
              </w:rPr>
            </w:pPr>
            <w:r>
              <w:rPr>
                <w:rFonts w:hint="eastAsia"/>
                <w:kern w:val="0"/>
                <w:sz w:val="22"/>
              </w:rPr>
              <w:t>2015</w:t>
            </w:r>
            <w:r>
              <w:rPr>
                <w:rFonts w:hint="eastAsia"/>
                <w:kern w:val="0"/>
                <w:sz w:val="22"/>
              </w:rPr>
              <w:t>～</w:t>
            </w:r>
            <w:r>
              <w:rPr>
                <w:rFonts w:hint="eastAsia"/>
                <w:kern w:val="0"/>
                <w:sz w:val="22"/>
              </w:rPr>
              <w:t>2017</w:t>
            </w:r>
          </w:p>
        </w:tc>
        <w:tc>
          <w:tcPr>
            <w:tcW w:w="1865" w:type="dxa"/>
            <w:gridSpan w:val="3"/>
            <w:shd w:val="clear" w:color="auto" w:fill="auto"/>
            <w:vAlign w:val="center"/>
          </w:tcPr>
          <w:p>
            <w:pPr>
              <w:pStyle w:val="0"/>
              <w:widowControl w:val="1"/>
              <w:jc w:val="center"/>
              <w:rPr>
                <w:rFonts w:hint="default"/>
                <w:kern w:val="0"/>
                <w:sz w:val="22"/>
              </w:rPr>
            </w:pPr>
            <w:r>
              <w:rPr>
                <w:rFonts w:hint="eastAsia"/>
                <w:kern w:val="0"/>
                <w:sz w:val="22"/>
              </w:rPr>
              <w:t>第５期</w:t>
            </w:r>
          </w:p>
          <w:p>
            <w:pPr>
              <w:pStyle w:val="0"/>
              <w:widowControl w:val="1"/>
              <w:jc w:val="center"/>
              <w:rPr>
                <w:rFonts w:hint="default"/>
                <w:kern w:val="0"/>
                <w:sz w:val="22"/>
              </w:rPr>
            </w:pPr>
            <w:r>
              <w:rPr>
                <w:rFonts w:hint="eastAsia"/>
                <w:kern w:val="0"/>
                <w:sz w:val="22"/>
              </w:rPr>
              <w:t>2018</w:t>
            </w:r>
            <w:r>
              <w:rPr>
                <w:rFonts w:hint="eastAsia"/>
                <w:kern w:val="0"/>
                <w:sz w:val="22"/>
              </w:rPr>
              <w:t>～</w:t>
            </w:r>
            <w:r>
              <w:rPr>
                <w:rFonts w:hint="eastAsia"/>
                <w:kern w:val="0"/>
                <w:sz w:val="22"/>
              </w:rPr>
              <w:t>2020</w:t>
            </w:r>
          </w:p>
        </w:tc>
        <w:tc>
          <w:tcPr>
            <w:tcW w:w="1794" w:type="dxa"/>
            <w:gridSpan w:val="3"/>
            <w:shd w:val="clear" w:color="auto" w:fill="auto"/>
            <w:vAlign w:val="center"/>
          </w:tcPr>
          <w:p>
            <w:pPr>
              <w:pStyle w:val="0"/>
              <w:widowControl w:val="1"/>
              <w:jc w:val="center"/>
              <w:rPr>
                <w:rFonts w:hint="default"/>
                <w:kern w:val="0"/>
                <w:sz w:val="22"/>
              </w:rPr>
            </w:pPr>
            <w:r>
              <w:rPr>
                <w:rFonts w:hint="eastAsia"/>
              </w:rPr>
              <w:t>第６期</w:t>
            </w:r>
          </w:p>
          <w:p>
            <w:pPr>
              <w:pStyle w:val="0"/>
              <w:widowControl w:val="1"/>
              <w:jc w:val="center"/>
              <w:rPr>
                <w:rFonts w:hint="default"/>
                <w:kern w:val="0"/>
                <w:sz w:val="22"/>
              </w:rPr>
            </w:pPr>
            <w:r>
              <w:rPr>
                <w:rFonts w:hint="eastAsia"/>
                <w:kern w:val="0"/>
                <w:sz w:val="22"/>
              </w:rPr>
              <w:t>2021</w:t>
            </w:r>
            <w:r>
              <w:rPr>
                <w:rFonts w:hint="eastAsia"/>
                <w:kern w:val="0"/>
                <w:sz w:val="22"/>
              </w:rPr>
              <w:t>～</w:t>
            </w:r>
            <w:r>
              <w:rPr>
                <w:rFonts w:hint="eastAsia"/>
                <w:kern w:val="0"/>
                <w:sz w:val="22"/>
              </w:rPr>
              <w:t>2023</w:t>
            </w:r>
          </w:p>
        </w:tc>
        <w:tc>
          <w:tcPr>
            <w:tcW w:w="1196" w:type="dxa"/>
            <w:gridSpan w:val="2"/>
            <w:shd w:val="clear" w:color="auto" w:fill="auto"/>
            <w:vAlign w:val="center"/>
          </w:tcPr>
          <w:p>
            <w:pPr>
              <w:pStyle w:val="0"/>
              <w:rPr>
                <w:rFonts w:hint="default"/>
              </w:rPr>
            </w:pPr>
          </w:p>
        </w:tc>
      </w:tr>
      <w:tr>
        <w:trPr>
          <w:trHeight w:val="576" w:hRule="atLeast"/>
        </w:trPr>
        <w:tc>
          <w:tcPr>
            <w:tcW w:w="928" w:type="dxa"/>
            <w:vMerge w:val="continue"/>
            <w:vAlign w:val="center"/>
          </w:tcPr>
          <w:p>
            <w:pPr>
              <w:pStyle w:val="0"/>
              <w:widowControl w:val="1"/>
              <w:snapToGrid w:val="0"/>
              <w:jc w:val="left"/>
              <w:rPr>
                <w:rFonts w:hint="default"/>
                <w:kern w:val="0"/>
                <w:sz w:val="18"/>
              </w:rPr>
            </w:pPr>
          </w:p>
        </w:tc>
        <w:tc>
          <w:tcPr>
            <w:tcW w:w="1390" w:type="dxa"/>
            <w:shd w:val="clear" w:color="auto" w:fill="auto"/>
            <w:vAlign w:val="center"/>
          </w:tcPr>
          <w:p>
            <w:pPr>
              <w:pStyle w:val="0"/>
              <w:snapToGrid w:val="0"/>
              <w:ind w:left="-107" w:leftChars="-50" w:right="-120" w:rightChars="-50" w:hanging="13" w:hangingChars="8"/>
              <w:jc w:val="center"/>
              <w:rPr>
                <w:rFonts w:hint="default"/>
                <w:kern w:val="0"/>
                <w:sz w:val="16"/>
              </w:rPr>
            </w:pPr>
            <w:r>
              <w:rPr>
                <w:rFonts w:hint="eastAsia"/>
                <w:kern w:val="0"/>
                <w:sz w:val="16"/>
              </w:rPr>
              <w:t>障害児福祉計画</w:t>
            </w:r>
          </w:p>
          <w:p>
            <w:pPr>
              <w:pStyle w:val="0"/>
              <w:snapToGrid w:val="0"/>
              <w:ind w:left="-107" w:leftChars="-50" w:right="-120" w:rightChars="-50" w:hanging="13" w:hangingChars="8"/>
              <w:jc w:val="center"/>
              <w:rPr>
                <w:rFonts w:hint="default"/>
                <w:kern w:val="0"/>
                <w:sz w:val="16"/>
              </w:rPr>
            </w:pPr>
            <w:r>
              <w:rPr>
                <w:rFonts w:hint="eastAsia"/>
                <w:w w:val="90"/>
                <w:kern w:val="0"/>
                <w:sz w:val="16"/>
              </w:rPr>
              <w:t>（</w:t>
            </w:r>
            <w:r>
              <w:rPr>
                <w:rFonts w:hint="eastAsia"/>
                <w:spacing w:val="50"/>
                <w:w w:val="90"/>
                <w:kern w:val="0"/>
                <w:sz w:val="16"/>
                <w:fitText w:val="1120" w:id="7"/>
              </w:rPr>
              <w:t>児童福祉</w:t>
            </w:r>
            <w:r>
              <w:rPr>
                <w:rFonts w:hint="eastAsia"/>
                <w:spacing w:val="0"/>
                <w:w w:val="90"/>
                <w:kern w:val="0"/>
                <w:sz w:val="16"/>
                <w:fitText w:val="1120" w:id="7"/>
              </w:rPr>
              <w:t>法</w:t>
            </w:r>
            <w:r>
              <w:rPr>
                <w:rFonts w:hint="eastAsia"/>
                <w:w w:val="90"/>
                <w:kern w:val="0"/>
                <w:sz w:val="16"/>
              </w:rPr>
              <w:t>）</w:t>
            </w:r>
          </w:p>
        </w:tc>
        <w:tc>
          <w:tcPr>
            <w:tcW w:w="2487" w:type="dxa"/>
            <w:gridSpan w:val="5"/>
            <w:shd w:val="clear" w:color="auto" w:fill="auto"/>
            <w:vAlign w:val="center"/>
          </w:tcPr>
          <w:p>
            <w:pPr>
              <w:pStyle w:val="0"/>
              <w:jc w:val="center"/>
              <w:rPr>
                <w:rFonts w:hint="default"/>
              </w:rPr>
            </w:pPr>
            <w:r>
              <w:rPr>
                <w:rFonts w:hint="eastAsia"/>
              </w:rPr>
              <w:t>－</w:t>
            </w:r>
          </w:p>
        </w:tc>
        <w:tc>
          <w:tcPr>
            <w:tcW w:w="1865" w:type="dxa"/>
            <w:gridSpan w:val="3"/>
            <w:shd w:val="clear" w:color="auto" w:fill="auto"/>
            <w:vAlign w:val="center"/>
          </w:tcPr>
          <w:p>
            <w:pPr>
              <w:pStyle w:val="0"/>
              <w:widowControl w:val="1"/>
              <w:jc w:val="center"/>
              <w:rPr>
                <w:rFonts w:hint="default"/>
                <w:kern w:val="0"/>
                <w:sz w:val="22"/>
              </w:rPr>
            </w:pPr>
            <w:r>
              <w:rPr>
                <w:rFonts w:hint="eastAsia"/>
                <w:kern w:val="0"/>
                <w:sz w:val="22"/>
              </w:rPr>
              <w:t>第１期</w:t>
            </w:r>
          </w:p>
          <w:p>
            <w:pPr>
              <w:pStyle w:val="0"/>
              <w:widowControl w:val="1"/>
              <w:jc w:val="center"/>
              <w:rPr>
                <w:rFonts w:hint="default"/>
                <w:kern w:val="0"/>
                <w:sz w:val="22"/>
              </w:rPr>
            </w:pPr>
            <w:r>
              <w:rPr>
                <w:rFonts w:hint="eastAsia"/>
                <w:kern w:val="0"/>
                <w:sz w:val="22"/>
              </w:rPr>
              <w:t>2018</w:t>
            </w:r>
            <w:r>
              <w:rPr>
                <w:rFonts w:hint="eastAsia"/>
                <w:kern w:val="0"/>
                <w:sz w:val="22"/>
              </w:rPr>
              <w:t>～</w:t>
            </w:r>
            <w:r>
              <w:rPr>
                <w:rFonts w:hint="eastAsia"/>
                <w:kern w:val="0"/>
                <w:sz w:val="22"/>
              </w:rPr>
              <w:t>2020</w:t>
            </w:r>
          </w:p>
        </w:tc>
        <w:tc>
          <w:tcPr>
            <w:tcW w:w="1794" w:type="dxa"/>
            <w:gridSpan w:val="3"/>
            <w:shd w:val="clear" w:color="auto" w:fill="auto"/>
            <w:vAlign w:val="center"/>
          </w:tcPr>
          <w:p>
            <w:pPr>
              <w:pStyle w:val="0"/>
              <w:widowControl w:val="1"/>
              <w:jc w:val="center"/>
              <w:rPr>
                <w:rFonts w:hint="default"/>
                <w:kern w:val="0"/>
                <w:sz w:val="22"/>
              </w:rPr>
            </w:pPr>
            <w:r>
              <w:rPr>
                <w:rFonts w:hint="eastAsia"/>
                <w:kern w:val="0"/>
                <w:sz w:val="22"/>
              </w:rPr>
              <w:t>第２期</w:t>
            </w:r>
          </w:p>
          <w:p>
            <w:pPr>
              <w:pStyle w:val="0"/>
              <w:widowControl w:val="1"/>
              <w:jc w:val="center"/>
              <w:rPr>
                <w:rFonts w:hint="default"/>
                <w:kern w:val="0"/>
                <w:sz w:val="22"/>
              </w:rPr>
            </w:pPr>
            <w:r>
              <w:rPr>
                <w:rFonts w:hint="eastAsia"/>
                <w:kern w:val="0"/>
                <w:sz w:val="22"/>
              </w:rPr>
              <w:t>2021</w:t>
            </w:r>
            <w:r>
              <w:rPr>
                <w:rFonts w:hint="eastAsia"/>
                <w:kern w:val="0"/>
                <w:sz w:val="22"/>
              </w:rPr>
              <w:t>～</w:t>
            </w:r>
            <w:r>
              <w:rPr>
                <w:rFonts w:hint="eastAsia"/>
                <w:kern w:val="0"/>
                <w:sz w:val="22"/>
              </w:rPr>
              <w:t>2023</w:t>
            </w:r>
          </w:p>
        </w:tc>
        <w:tc>
          <w:tcPr>
            <w:tcW w:w="1196" w:type="dxa"/>
            <w:gridSpan w:val="2"/>
            <w:shd w:val="clear" w:color="auto" w:fill="auto"/>
            <w:vAlign w:val="center"/>
          </w:tcPr>
          <w:p>
            <w:pPr>
              <w:pStyle w:val="0"/>
              <w:rPr>
                <w:rFonts w:hint="default"/>
              </w:rPr>
            </w:pPr>
          </w:p>
        </w:tc>
      </w:tr>
    </w:tbl>
    <w:p>
      <w:pPr>
        <w:pStyle w:val="0"/>
        <w:rPr>
          <w:rFonts w:hint="default"/>
          <w:b w:val="1"/>
        </w:rPr>
      </w:pPr>
    </w:p>
    <w:p>
      <w:pPr>
        <w:pStyle w:val="0"/>
        <w:outlineLvl w:val="1"/>
        <w:rPr>
          <w:rFonts w:hint="default" w:ascii="ＭＳ ゴシック" w:hAnsi="ＭＳ ゴシック" w:eastAsia="ＭＳ ゴシック"/>
          <w:sz w:val="26"/>
          <w:u w:val="single" w:color="auto"/>
        </w:rPr>
      </w:pPr>
      <w:r>
        <w:rPr>
          <w:rFonts w:hint="default" w:ascii="HG丸ｺﾞｼｯｸM-PRO" w:hAnsi="HG丸ｺﾞｼｯｸM-PRO" w:eastAsia="HG丸ｺﾞｼｯｸM-PRO"/>
          <w:b w:val="1"/>
        </w:rPr>
        <w:br w:type="page"/>
      </w:r>
      <w:bookmarkStart w:id="34" w:name="_Toc500152874"/>
      <w:bookmarkEnd w:id="34"/>
      <w:bookmarkStart w:id="35" w:name="_Toc500152875"/>
      <w:bookmarkEnd w:id="35"/>
      <w:bookmarkStart w:id="36" w:name="_Toc500152879"/>
      <w:bookmarkEnd w:id="36"/>
      <w:bookmarkStart w:id="37" w:name="_Toc500152881"/>
      <w:bookmarkEnd w:id="37"/>
      <w:bookmarkStart w:id="38" w:name="_Toc500152882"/>
      <w:bookmarkEnd w:id="38"/>
      <w:r>
        <w:rPr>
          <w:rFonts w:hint="eastAsia" w:ascii="ＭＳ ゴシック" w:hAnsi="ＭＳ ゴシック" w:eastAsia="ＭＳ ゴシック"/>
          <w:sz w:val="26"/>
          <w:u w:val="single" w:color="auto"/>
        </w:rPr>
        <w:t>４　障害保健福祉圏域</w:t>
      </w:r>
    </w:p>
    <w:p>
      <w:pPr>
        <w:pStyle w:val="0"/>
        <w:autoSpaceDE w:val="0"/>
        <w:autoSpaceDN w:val="0"/>
        <w:adjustRightInd w:val="0"/>
        <w:spacing w:line="360" w:lineRule="exact"/>
        <w:ind w:firstLine="240" w:firstLineChars="100"/>
        <w:jc w:val="left"/>
        <w:rPr>
          <w:rFonts w:hint="default"/>
          <w:kern w:val="0"/>
        </w:rPr>
      </w:pPr>
      <w:r>
        <w:rPr>
          <w:rFonts w:hint="eastAsia"/>
          <w:kern w:val="0"/>
        </w:rPr>
        <w:t>障害者施策は、市町の人口規模や地域の実情、施策の内容等に応じて、地域の社会資源を有効に活用し、広域的な視点から展開することが必要であるため、次の８つの障害保健福祉圏域を設定します。</w:t>
      </w:r>
    </w:p>
    <w:p>
      <w:pPr>
        <w:pStyle w:val="0"/>
        <w:autoSpaceDE w:val="0"/>
        <w:autoSpaceDN w:val="0"/>
        <w:adjustRightInd w:val="0"/>
        <w:spacing w:line="360" w:lineRule="exact"/>
        <w:ind w:firstLine="240" w:firstLineChars="100"/>
        <w:jc w:val="left"/>
        <w:rPr>
          <w:rFonts w:hint="default"/>
          <w:kern w:val="0"/>
        </w:rPr>
      </w:pPr>
      <w:r>
        <w:rPr>
          <w:rFonts w:hint="eastAsia"/>
          <w:kern w:val="0"/>
        </w:rPr>
        <w:t>障害保健福祉圏域は、障害者施策と保健・医療や高齢者保健福祉施策との連携を図るため、県保健医療計画の２次保健医療圏と同じ圏域とします。</w:t>
      </w:r>
    </w:p>
    <w:p>
      <w:pPr>
        <w:pStyle w:val="0"/>
        <w:autoSpaceDE w:val="0"/>
        <w:autoSpaceDN w:val="0"/>
        <w:adjustRightInd w:val="0"/>
        <w:spacing w:line="360" w:lineRule="exact"/>
        <w:ind w:firstLine="240" w:firstLineChars="100"/>
        <w:jc w:val="left"/>
        <w:rPr>
          <w:rFonts w:hint="default"/>
        </w:rPr>
      </w:pPr>
      <w:r>
        <w:rPr>
          <w:rFonts w:hint="eastAsia"/>
          <w:kern w:val="0"/>
        </w:rPr>
        <w:t>また、障害保健福祉圏域は、障害者総合支援法に規定する「当該都道府県が定める区域」となります。</w:t>
      </w:r>
    </w:p>
    <w:p>
      <w:pPr>
        <w:pStyle w:val="0"/>
        <w:spacing w:line="340" w:lineRule="exact"/>
        <w:rPr>
          <w:rFonts w:hint="default"/>
        </w:rPr>
      </w:pPr>
    </w:p>
    <w:p>
      <w:pPr>
        <w:pStyle w:val="0"/>
        <w:rPr>
          <w:rFonts w:hint="default"/>
        </w:rPr>
      </w:pPr>
      <w:r>
        <w:rPr>
          <w:rFonts w:hint="eastAsia"/>
        </w:rPr>
        <w:t>[</w:t>
      </w:r>
      <w:r>
        <w:rPr>
          <w:rFonts w:hint="eastAsia"/>
        </w:rPr>
        <w:t>障害保健福祉圏域</w:t>
      </w:r>
      <w:r>
        <w:rPr>
          <w:rFonts w:hint="eastAsia"/>
        </w:rPr>
        <w:t>]</w:t>
      </w:r>
      <w:r>
        <w:rPr>
          <w:rFonts w:hint="eastAsia"/>
        </w:rPr>
        <w:t>（</w:t>
      </w:r>
      <w:r>
        <w:rPr>
          <w:rFonts w:hint="eastAsia"/>
        </w:rPr>
        <w:t>2022</w:t>
      </w:r>
      <w:r>
        <w:rPr>
          <w:rFonts w:hint="eastAsia"/>
        </w:rPr>
        <w:t>年３月現在）</w:t>
      </w:r>
    </w:p>
    <w:tbl>
      <w:tblPr>
        <w:tblStyle w:val="11"/>
        <w:tblW w:w="9520" w:type="dxa"/>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1952"/>
        <w:gridCol w:w="7568"/>
      </w:tblGrid>
      <w:tr>
        <w:trPr>
          <w:trHeight w:val="518" w:hRule="atLeast"/>
        </w:trPr>
        <w:tc>
          <w:tcPr>
            <w:tcW w:w="1952" w:type="dxa"/>
            <w:vAlign w:val="center"/>
          </w:tcPr>
          <w:p>
            <w:pPr>
              <w:pStyle w:val="0"/>
              <w:jc w:val="center"/>
              <w:rPr>
                <w:rFonts w:hint="default"/>
              </w:rPr>
            </w:pPr>
            <w:r>
              <w:rPr>
                <w:rFonts w:hint="eastAsia"/>
              </w:rPr>
              <w:t>圏　域　名</w:t>
            </w:r>
          </w:p>
        </w:tc>
        <w:tc>
          <w:tcPr>
            <w:tcW w:w="7568" w:type="dxa"/>
            <w:vAlign w:val="center"/>
          </w:tcPr>
          <w:p>
            <w:pPr>
              <w:pStyle w:val="0"/>
              <w:jc w:val="center"/>
              <w:rPr>
                <w:rFonts w:hint="default"/>
              </w:rPr>
            </w:pPr>
            <w:r>
              <w:rPr>
                <w:rFonts w:hint="eastAsia"/>
              </w:rPr>
              <w:t>構　成　市　町</w:t>
            </w:r>
          </w:p>
        </w:tc>
      </w:tr>
      <w:tr>
        <w:trPr>
          <w:trHeight w:val="497" w:hRule="atLeast"/>
        </w:trPr>
        <w:tc>
          <w:tcPr>
            <w:tcW w:w="1952" w:type="dxa"/>
            <w:vAlign w:val="center"/>
          </w:tcPr>
          <w:p>
            <w:pPr>
              <w:pStyle w:val="0"/>
              <w:jc w:val="distribute"/>
              <w:rPr>
                <w:rFonts w:hint="default"/>
              </w:rPr>
            </w:pPr>
            <w:r>
              <w:rPr>
                <w:rFonts w:hint="eastAsia"/>
              </w:rPr>
              <w:t>賀茂</w:t>
            </w:r>
          </w:p>
        </w:tc>
        <w:tc>
          <w:tcPr>
            <w:tcW w:w="7568" w:type="dxa"/>
            <w:vAlign w:val="center"/>
          </w:tcPr>
          <w:p>
            <w:pPr>
              <w:pStyle w:val="0"/>
              <w:rPr>
                <w:rFonts w:hint="default"/>
              </w:rPr>
            </w:pPr>
            <w:r>
              <w:rPr>
                <w:rFonts w:hint="eastAsia"/>
              </w:rPr>
              <w:t>下田市、東伊豆町、河津町、南伊豆町、松崎町、西伊豆町</w:t>
            </w:r>
          </w:p>
        </w:tc>
      </w:tr>
      <w:tr>
        <w:trPr>
          <w:trHeight w:val="497" w:hRule="atLeast"/>
        </w:trPr>
        <w:tc>
          <w:tcPr>
            <w:tcW w:w="1952" w:type="dxa"/>
            <w:vAlign w:val="center"/>
          </w:tcPr>
          <w:p>
            <w:pPr>
              <w:pStyle w:val="0"/>
              <w:jc w:val="distribute"/>
              <w:rPr>
                <w:rFonts w:hint="default"/>
              </w:rPr>
            </w:pPr>
            <w:r>
              <w:rPr>
                <w:rFonts w:hint="eastAsia"/>
              </w:rPr>
              <w:t>熱海伊東</w:t>
            </w:r>
          </w:p>
        </w:tc>
        <w:tc>
          <w:tcPr>
            <w:tcW w:w="7568" w:type="dxa"/>
            <w:vAlign w:val="center"/>
          </w:tcPr>
          <w:p>
            <w:pPr>
              <w:pStyle w:val="0"/>
              <w:rPr>
                <w:rFonts w:hint="default"/>
              </w:rPr>
            </w:pPr>
            <w:r>
              <w:rPr>
                <w:rFonts w:hint="eastAsia"/>
              </w:rPr>
              <w:t>熱海市、伊東市</w:t>
            </w:r>
          </w:p>
        </w:tc>
      </w:tr>
      <w:tr>
        <w:trPr>
          <w:trHeight w:val="814" w:hRule="atLeast"/>
        </w:trPr>
        <w:tc>
          <w:tcPr>
            <w:tcW w:w="1952" w:type="dxa"/>
            <w:vAlign w:val="center"/>
          </w:tcPr>
          <w:p>
            <w:pPr>
              <w:pStyle w:val="0"/>
              <w:jc w:val="distribute"/>
              <w:rPr>
                <w:rFonts w:hint="default"/>
              </w:rPr>
            </w:pPr>
            <w:r>
              <w:rPr>
                <w:rFonts w:hint="eastAsia"/>
              </w:rPr>
              <w:t>駿東田方</w:t>
            </w:r>
          </w:p>
        </w:tc>
        <w:tc>
          <w:tcPr>
            <w:tcW w:w="7568" w:type="dxa"/>
            <w:vAlign w:val="center"/>
          </w:tcPr>
          <w:p>
            <w:pPr>
              <w:pStyle w:val="0"/>
              <w:rPr>
                <w:rFonts w:hint="default"/>
              </w:rPr>
            </w:pPr>
            <w:r>
              <w:rPr>
                <w:rFonts w:hint="eastAsia"/>
              </w:rPr>
              <w:t>沼津市、三島市、御殿場市、裾野市、伊豆市、伊豆の国市、函南町、清水町、長泉町、小山町</w:t>
            </w:r>
          </w:p>
        </w:tc>
      </w:tr>
      <w:tr>
        <w:trPr>
          <w:trHeight w:val="497" w:hRule="atLeast"/>
        </w:trPr>
        <w:tc>
          <w:tcPr>
            <w:tcW w:w="1952" w:type="dxa"/>
            <w:vAlign w:val="center"/>
          </w:tcPr>
          <w:p>
            <w:pPr>
              <w:pStyle w:val="0"/>
              <w:jc w:val="distribute"/>
              <w:rPr>
                <w:rFonts w:hint="default"/>
              </w:rPr>
            </w:pPr>
            <w:r>
              <w:rPr>
                <w:rFonts w:hint="eastAsia"/>
              </w:rPr>
              <w:t>富士</w:t>
            </w:r>
          </w:p>
        </w:tc>
        <w:tc>
          <w:tcPr>
            <w:tcW w:w="7568" w:type="dxa"/>
            <w:vAlign w:val="center"/>
          </w:tcPr>
          <w:p>
            <w:pPr>
              <w:pStyle w:val="0"/>
              <w:rPr>
                <w:rFonts w:hint="default"/>
              </w:rPr>
            </w:pPr>
            <w:r>
              <w:rPr>
                <w:rFonts w:hint="eastAsia"/>
              </w:rPr>
              <w:t>富士宮市、富士市</w:t>
            </w:r>
          </w:p>
        </w:tc>
      </w:tr>
      <w:tr>
        <w:trPr>
          <w:trHeight w:val="497" w:hRule="atLeast"/>
        </w:trPr>
        <w:tc>
          <w:tcPr>
            <w:tcW w:w="1952" w:type="dxa"/>
            <w:vAlign w:val="center"/>
          </w:tcPr>
          <w:p>
            <w:pPr>
              <w:pStyle w:val="18"/>
              <w:jc w:val="distribute"/>
              <w:rPr>
                <w:rFonts w:hint="default"/>
              </w:rPr>
            </w:pPr>
            <w:r>
              <w:rPr>
                <w:rFonts w:hint="eastAsia"/>
              </w:rPr>
              <w:t>静岡</w:t>
            </w:r>
          </w:p>
        </w:tc>
        <w:tc>
          <w:tcPr>
            <w:tcW w:w="7568" w:type="dxa"/>
            <w:vAlign w:val="center"/>
          </w:tcPr>
          <w:p>
            <w:pPr>
              <w:pStyle w:val="19"/>
              <w:tabs>
                <w:tab w:val="clear" w:pos="4252"/>
                <w:tab w:val="clear" w:pos="8504"/>
              </w:tabs>
              <w:snapToGrid w:val="1"/>
              <w:rPr>
                <w:rFonts w:hint="default"/>
              </w:rPr>
            </w:pPr>
            <w:r>
              <w:rPr>
                <w:rFonts w:hint="eastAsia"/>
              </w:rPr>
              <w:t>静岡市</w:t>
            </w:r>
          </w:p>
        </w:tc>
      </w:tr>
      <w:tr>
        <w:trPr>
          <w:trHeight w:val="497" w:hRule="atLeast"/>
        </w:trPr>
        <w:tc>
          <w:tcPr>
            <w:tcW w:w="1952" w:type="dxa"/>
            <w:vAlign w:val="center"/>
          </w:tcPr>
          <w:p>
            <w:pPr>
              <w:pStyle w:val="0"/>
              <w:jc w:val="distribute"/>
              <w:rPr>
                <w:rFonts w:hint="default"/>
              </w:rPr>
            </w:pPr>
            <w:r>
              <w:rPr>
                <w:rFonts w:hint="eastAsia"/>
              </w:rPr>
              <w:t>志太榛原</w:t>
            </w:r>
          </w:p>
        </w:tc>
        <w:tc>
          <w:tcPr>
            <w:tcW w:w="7568" w:type="dxa"/>
            <w:vAlign w:val="center"/>
          </w:tcPr>
          <w:p>
            <w:pPr>
              <w:pStyle w:val="0"/>
              <w:rPr>
                <w:rFonts w:hint="default"/>
              </w:rPr>
            </w:pPr>
            <w:r>
              <w:rPr>
                <w:rFonts w:hint="eastAsia"/>
              </w:rPr>
              <w:t>島田市、焼津市、藤枝市、牧之原市、吉田町、川根本町</w:t>
            </w:r>
          </w:p>
        </w:tc>
      </w:tr>
      <w:tr>
        <w:trPr>
          <w:trHeight w:val="518" w:hRule="atLeast"/>
        </w:trPr>
        <w:tc>
          <w:tcPr>
            <w:tcW w:w="1952" w:type="dxa"/>
            <w:vAlign w:val="center"/>
          </w:tcPr>
          <w:p>
            <w:pPr>
              <w:pStyle w:val="0"/>
              <w:jc w:val="distribute"/>
              <w:rPr>
                <w:rFonts w:hint="default"/>
              </w:rPr>
            </w:pPr>
            <w:r>
              <w:rPr>
                <w:rFonts w:hint="eastAsia"/>
              </w:rPr>
              <w:t>中東遠</w:t>
            </w:r>
          </w:p>
        </w:tc>
        <w:tc>
          <w:tcPr>
            <w:tcW w:w="7568" w:type="dxa"/>
            <w:vAlign w:val="center"/>
          </w:tcPr>
          <w:p>
            <w:pPr>
              <w:pStyle w:val="0"/>
              <w:rPr>
                <w:rFonts w:hint="default"/>
              </w:rPr>
            </w:pPr>
            <w:r>
              <w:rPr>
                <w:rFonts w:hint="eastAsia"/>
              </w:rPr>
              <w:t>磐田市、掛川市、袋井市、御前崎市、菊川市、森町</w:t>
            </w:r>
          </w:p>
        </w:tc>
      </w:tr>
      <w:tr>
        <w:trPr>
          <w:trHeight w:val="497" w:hRule="atLeast"/>
        </w:trPr>
        <w:tc>
          <w:tcPr>
            <w:tcW w:w="1952" w:type="dxa"/>
            <w:vAlign w:val="center"/>
          </w:tcPr>
          <w:p>
            <w:pPr>
              <w:pStyle w:val="0"/>
              <w:jc w:val="distribute"/>
              <w:rPr>
                <w:rFonts w:hint="default"/>
              </w:rPr>
            </w:pPr>
            <w:r>
              <w:rPr>
                <w:rFonts w:hint="eastAsia"/>
              </w:rPr>
              <w:t>西部</w:t>
            </w:r>
          </w:p>
        </w:tc>
        <w:tc>
          <w:tcPr>
            <w:tcW w:w="7568" w:type="dxa"/>
            <w:vAlign w:val="center"/>
          </w:tcPr>
          <w:p>
            <w:pPr>
              <w:pStyle w:val="0"/>
              <w:rPr>
                <w:rFonts w:hint="default"/>
              </w:rPr>
            </w:pPr>
            <w:r>
              <w:rPr>
                <w:rFonts w:hint="eastAsia"/>
              </w:rPr>
              <w:t>浜松市、湖西市</w:t>
            </w:r>
          </w:p>
        </w:tc>
      </w:tr>
    </w:tbl>
    <w:p>
      <w:pPr>
        <w:pStyle w:val="0"/>
        <w:rPr>
          <w:rFonts w:hint="default"/>
        </w:rPr>
      </w:pPr>
      <w:r>
        <w:rPr>
          <w:rFonts w:hint="default"/>
        </w:rPr>
        <w:pict>
          <v:group id="_x0000_s1031" style="margin-top:-0.65pt;mso-position-vertical-relative:text;mso-position-horizontal-relative:text;position:absolute;height:312.60000000000002pt;width:490.7pt;margin-left:0pt;z-index:-503316458;" coordsize="9814,6253" coordorigin="1134,10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style="height:6253;width:9341;top:10695;left:1134;position:absolute;" filled="f" o:spt="75" type="#_x0000_t75">
              <v:fill/>
              <v:stroke joinstyle="miter"/>
              <v:imagedata o:title="" r:id="rId11"/>
              <o:lock v:ext="edit" aspectratio="t"/>
              <w10:wrap type="none" anchorx="text" anchory="text"/>
            </v:shape>
            <v:roundrect id="_x0000_s1033" style="height:316;width:776;top:12275;left:6619;position:absolute;" filled="t" stroked="t" o:spt="2" arcsize="10923f">
              <v:fill/>
              <v:textbox style="layout-flow:horizontal;" inset="2.0637499999999998mm,0mm,2.0637499999999998mm,0mm">
                <w:txbxContent>
                  <w:p>
                    <w:pPr>
                      <w:pStyle w:val="0"/>
                      <w:spacing w:line="280" w:lineRule="exact"/>
                      <w:jc w:val="center"/>
                      <w:rPr>
                        <w:rFonts w:hint="default" w:ascii="ＭＳ ゴシック" w:hAnsi="ＭＳ ゴシック" w:eastAsia="ＭＳ ゴシック"/>
                      </w:rPr>
                    </w:pPr>
                    <w:r>
                      <w:rPr>
                        <w:rFonts w:hint="eastAsia" w:ascii="ＭＳ ゴシック" w:hAnsi="ＭＳ ゴシック" w:eastAsia="ＭＳ ゴシック"/>
                      </w:rPr>
                      <w:t>富士</w:t>
                    </w:r>
                  </w:p>
                </w:txbxContent>
              </v:textbox>
              <v:imagedata o:title=""/>
              <w10:wrap type="none" anchorx="text" anchory="text"/>
            </v:roundrect>
            <v:roundrect id="_x0000_s1034" style="height:316;width:760;top:14329;left:6567;position:absolute;" filled="t" stroked="t" o:spt="2" arcsize="10923f">
              <v:fill/>
              <v:textbox style="layout-flow:horizontal;" inset="2.0637499999999998mm,0mm,2.0637499999999998mm,0mm">
                <w:txbxContent>
                  <w:p>
                    <w:pPr>
                      <w:pStyle w:val="0"/>
                      <w:spacing w:line="280" w:lineRule="exact"/>
                      <w:jc w:val="center"/>
                      <w:rPr>
                        <w:rFonts w:hint="default" w:ascii="ＭＳ ゴシック" w:hAnsi="ＭＳ ゴシック" w:eastAsia="ＭＳ ゴシック"/>
                      </w:rPr>
                    </w:pPr>
                    <w:r>
                      <w:rPr>
                        <w:rFonts w:hint="eastAsia" w:ascii="ＭＳ ゴシック" w:hAnsi="ＭＳ ゴシック" w:eastAsia="ＭＳ ゴシック"/>
                      </w:rPr>
                      <w:t>静岡</w:t>
                    </w:r>
                  </w:p>
                </w:txbxContent>
              </v:textbox>
              <v:imagedata o:title=""/>
              <w10:wrap type="none" anchorx="text" anchory="text"/>
            </v:roundrect>
            <v:roundrect id="_x0000_s1035" style="height:316;width:760;top:13697;left:2726;position:absolute;" filled="t" stroked="t" o:spt="2" arcsize="10923f">
              <v:fill/>
              <v:textbox style="layout-flow:horizontal;" inset="2.0637499999999998mm,0mm,2.0637499999999998mm,0mm">
                <w:txbxContent>
                  <w:p>
                    <w:pPr>
                      <w:pStyle w:val="0"/>
                      <w:spacing w:line="280" w:lineRule="exact"/>
                      <w:jc w:val="center"/>
                      <w:rPr>
                        <w:rFonts w:hint="default" w:ascii="ＭＳ ゴシック" w:hAnsi="ＭＳ ゴシック" w:eastAsia="ＭＳ ゴシック"/>
                      </w:rPr>
                    </w:pPr>
                    <w:r>
                      <w:rPr>
                        <w:rFonts w:hint="eastAsia" w:ascii="ＭＳ ゴシック" w:hAnsi="ＭＳ ゴシック" w:eastAsia="ＭＳ ゴシック"/>
                      </w:rPr>
                      <w:t>西部</w:t>
                    </w:r>
                  </w:p>
                </w:txbxContent>
              </v:textbox>
              <v:imagedata o:title=""/>
              <w10:wrap type="none" anchorx="text" anchory="text"/>
            </v:roundrect>
            <v:roundrect id="_x0000_s1036" style="height:317;width:777;top:15909;left:9096;position:absolute;" filled="t" stroked="t" o:spt="2" arcsize="10923f">
              <v:fill/>
              <v:textbox style="layout-flow:horizontal;" inset="2.0637499999999998mm,0mm,2.0637499999999998mm,0mm">
                <w:txbxContent>
                  <w:p>
                    <w:pPr>
                      <w:pStyle w:val="0"/>
                      <w:spacing w:line="280" w:lineRule="exact"/>
                      <w:jc w:val="center"/>
                      <w:rPr>
                        <w:rFonts w:hint="default" w:ascii="ＭＳ ゴシック" w:hAnsi="ＭＳ ゴシック" w:eastAsia="ＭＳ ゴシック"/>
                      </w:rPr>
                    </w:pPr>
                    <w:r>
                      <w:rPr>
                        <w:rFonts w:hint="eastAsia" w:ascii="ＭＳ ゴシック" w:hAnsi="ＭＳ ゴシック" w:eastAsia="ＭＳ ゴシック"/>
                      </w:rPr>
                      <w:t>賀茂</w:t>
                    </w:r>
                  </w:p>
                </w:txbxContent>
              </v:textbox>
              <v:imagedata o:title=""/>
              <w10:wrap type="none" anchorx="text" anchory="text"/>
            </v:roundrect>
            <v:roundrect id="_x0000_s1037" style="height:316;width:1257;top:14201;left:9691;position:absolute;" filled="t" stroked="t" o:spt="2" arcsize="10923f">
              <v:fill/>
              <v:textbox style="layout-flow:horizontal;" inset="2.0637499999999998mm,0mm,2.0637499999999998mm,0mm">
                <w:txbxContent>
                  <w:p>
                    <w:pPr>
                      <w:pStyle w:val="0"/>
                      <w:spacing w:line="280" w:lineRule="exact"/>
                      <w:jc w:val="center"/>
                      <w:rPr>
                        <w:rFonts w:hint="default" w:ascii="ＭＳ ゴシック" w:hAnsi="ＭＳ ゴシック" w:eastAsia="ＭＳ ゴシック"/>
                      </w:rPr>
                    </w:pPr>
                    <w:r>
                      <w:rPr>
                        <w:rFonts w:hint="eastAsia" w:ascii="ＭＳ ゴシック" w:hAnsi="ＭＳ ゴシック" w:eastAsia="ＭＳ ゴシック"/>
                      </w:rPr>
                      <w:t>熱海伊東</w:t>
                    </w:r>
                  </w:p>
                </w:txbxContent>
              </v:textbox>
              <v:imagedata o:title=""/>
              <w10:wrap type="none" anchorx="text" anchory="text"/>
            </v:roundrect>
            <v:roundrect id="_x0000_s1038" style="height:316;width:1239;top:12749;left:9096;position:absolute;" filled="t" stroked="t" o:spt="2" arcsize="10923f">
              <v:fill/>
              <v:textbox style="layout-flow:horizontal;" inset="2.0637499999999998mm,0mm,2.0637499999999998mm,0mm">
                <w:txbxContent>
                  <w:p>
                    <w:pPr>
                      <w:pStyle w:val="0"/>
                      <w:spacing w:line="280" w:lineRule="exact"/>
                      <w:jc w:val="center"/>
                      <w:rPr>
                        <w:rFonts w:hint="default" w:ascii="ＭＳ ゴシック" w:hAnsi="ＭＳ ゴシック" w:eastAsia="ＭＳ ゴシック"/>
                      </w:rPr>
                    </w:pPr>
                    <w:r>
                      <w:rPr>
                        <w:rFonts w:hint="eastAsia" w:ascii="ＭＳ ゴシック" w:hAnsi="ＭＳ ゴシック" w:eastAsia="ＭＳ ゴシック"/>
                      </w:rPr>
                      <w:t>駿東田方</w:t>
                    </w:r>
                  </w:p>
                </w:txbxContent>
              </v:textbox>
              <v:imagedata o:title=""/>
              <w10:wrap type="none" anchorx="text" anchory="text"/>
            </v:roundrect>
            <v:roundrect id="_x0000_s1039" style="height:316;width:1180;top:16226;left:3257;position:absolute;" filled="t" stroked="t" o:spt="2" arcsize="10923f">
              <v:fill/>
              <v:textbox style="layout-flow:horizontal;" inset="2.0637499999999998mm,0mm,2.0637499999999998mm,0mm">
                <w:txbxContent>
                  <w:p>
                    <w:pPr>
                      <w:pStyle w:val="0"/>
                      <w:spacing w:line="280" w:lineRule="exact"/>
                      <w:jc w:val="center"/>
                      <w:rPr>
                        <w:rFonts w:hint="default" w:ascii="ＭＳ ゴシック" w:hAnsi="ＭＳ ゴシック" w:eastAsia="ＭＳ ゴシック"/>
                      </w:rPr>
                    </w:pPr>
                    <w:r>
                      <w:rPr>
                        <w:rFonts w:hint="eastAsia" w:ascii="ＭＳ ゴシック" w:hAnsi="ＭＳ ゴシック" w:eastAsia="ＭＳ ゴシック"/>
                      </w:rPr>
                      <w:t>中東遠</w:t>
                    </w:r>
                  </w:p>
                </w:txbxContent>
              </v:textbox>
              <v:imagedata o:title=""/>
              <w10:wrap type="none" anchorx="text" anchory="text"/>
            </v:roundrect>
            <v:roundrect id="_x0000_s1040" style="height:316;width:1248;top:15435;left:5911;position:absolute;" filled="t" stroked="t" o:spt="2" arcsize="10923f">
              <v:fill/>
              <v:textbox style="layout-flow:horizontal;" inset="2.0637499999999998mm,0mm,2.0637499999999998mm,0mm">
                <w:txbxContent>
                  <w:p>
                    <w:pPr>
                      <w:pStyle w:val="0"/>
                      <w:spacing w:line="280" w:lineRule="exact"/>
                      <w:jc w:val="center"/>
                      <w:rPr>
                        <w:rFonts w:hint="default" w:ascii="ＭＳ ゴシック" w:hAnsi="ＭＳ ゴシック" w:eastAsia="ＭＳ ゴシック"/>
                      </w:rPr>
                    </w:pPr>
                    <w:r>
                      <w:rPr>
                        <w:rFonts w:hint="eastAsia" w:ascii="ＭＳ ゴシック" w:hAnsi="ＭＳ ゴシック" w:eastAsia="ＭＳ ゴシック"/>
                      </w:rPr>
                      <w:t>志太榛原</w:t>
                    </w:r>
                  </w:p>
                </w:txbxContent>
              </v:textbox>
              <v:imagedata o:title=""/>
              <w10:wrap type="none" anchorx="text" anchory="text"/>
            </v:roundrect>
            <o:lock v:ext="edit" text="t"/>
            <w10:wrap type="none" anchorx="text" anchory="text"/>
          </v:group>
        </w:pict>
      </w:r>
    </w:p>
    <w:p>
      <w:pPr>
        <w:pStyle w:val="0"/>
        <w:rPr>
          <w:rFonts w:hint="default"/>
        </w:rPr>
      </w:pPr>
      <w:r>
        <w:rPr>
          <w:rFonts w:hint="eastAsia" w:ascii="ＭＳ ゴシック" w:hAnsi="ＭＳ ゴシック" w:eastAsia="ＭＳ ゴシック"/>
          <w:bdr w:val="single" w:color="auto" w:sz="4" w:space="0"/>
        </w:rPr>
        <w:t xml:space="preserve"> </w:t>
      </w:r>
      <w:r>
        <w:rPr>
          <w:rFonts w:hint="eastAsia" w:ascii="ＭＳ ゴシック" w:hAnsi="ＭＳ ゴシック" w:eastAsia="ＭＳ ゴシック"/>
          <w:bdr w:val="single" w:color="auto" w:sz="4" w:space="0"/>
        </w:rPr>
        <w:t>圏</w:t>
      </w:r>
      <w:r>
        <w:rPr>
          <w:rFonts w:hint="eastAsia" w:ascii="ＭＳ ゴシック" w:hAnsi="ＭＳ ゴシック" w:eastAsia="ＭＳ ゴシック"/>
          <w:bdr w:val="single" w:color="auto" w:sz="4" w:space="0"/>
        </w:rPr>
        <w:t xml:space="preserve"> </w:t>
      </w:r>
      <w:r>
        <w:rPr>
          <w:rFonts w:hint="eastAsia" w:ascii="ＭＳ ゴシック" w:hAnsi="ＭＳ ゴシック" w:eastAsia="ＭＳ ゴシック"/>
          <w:bdr w:val="single" w:color="auto" w:sz="4" w:space="0"/>
        </w:rPr>
        <w:t>域</w:t>
      </w:r>
      <w:r>
        <w:rPr>
          <w:rFonts w:hint="eastAsia" w:ascii="ＭＳ ゴシック" w:hAnsi="ＭＳ ゴシック" w:eastAsia="ＭＳ ゴシック"/>
          <w:bdr w:val="single" w:color="auto" w:sz="4" w:space="0"/>
        </w:rPr>
        <w:t xml:space="preserve"> </w:t>
      </w:r>
      <w:r>
        <w:rPr>
          <w:rFonts w:hint="eastAsia" w:ascii="ＭＳ ゴシック" w:hAnsi="ＭＳ ゴシック" w:eastAsia="ＭＳ ゴシック"/>
          <w:bdr w:val="single" w:color="auto" w:sz="4" w:space="0"/>
        </w:rPr>
        <w:t>図</w:t>
      </w:r>
      <w:r>
        <w:rPr>
          <w:rFonts w:hint="eastAsia" w:ascii="ＭＳ ゴシック" w:hAnsi="ＭＳ ゴシック" w:eastAsia="ＭＳ ゴシック"/>
          <w:bdr w:val="single" w:color="auto" w:sz="4" w:space="0"/>
        </w:rPr>
        <w:t xml:space="preserve"> </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rPr>
          <w:rFonts w:hint="default"/>
        </w:rPr>
        <w:sectPr>
          <w:headerReference r:id="rId10" w:type="default"/>
          <w:pgSz w:w="11906" w:h="16838"/>
          <w:pgMar w:top="1134" w:right="1021" w:bottom="1134" w:left="1134" w:header="284" w:footer="284" w:gutter="0"/>
          <w:cols w:space="720"/>
          <w:textDirection w:val="lrTb"/>
          <w:docGrid w:type="lines" w:linePitch="428"/>
        </w:sectPr>
      </w:pPr>
    </w:p>
    <w:p>
      <w:pPr>
        <w:pStyle w:val="0"/>
        <w:outlineLvl w:val="1"/>
        <w:rPr>
          <w:rFonts w:hint="default" w:ascii="ＭＳ ゴシック" w:hAnsi="ＭＳ ゴシック" w:eastAsia="ＭＳ ゴシック"/>
          <w:sz w:val="26"/>
          <w:u w:val="single" w:color="auto"/>
        </w:rPr>
      </w:pPr>
      <w:bookmarkStart w:id="39" w:name="_Toc500152883"/>
      <w:bookmarkEnd w:id="39"/>
      <w:bookmarkStart w:id="40" w:name="_Toc500152884"/>
      <w:bookmarkEnd w:id="40"/>
      <w:bookmarkStart w:id="41" w:name="_Toc500152885"/>
      <w:bookmarkEnd w:id="41"/>
      <w:bookmarkStart w:id="42" w:name="_Toc500152886"/>
      <w:bookmarkEnd w:id="42"/>
      <w:r>
        <w:rPr>
          <w:rFonts w:hint="eastAsia" w:ascii="ＭＳ ゴシック" w:hAnsi="ＭＳ ゴシック" w:eastAsia="ＭＳ ゴシック"/>
          <w:sz w:val="26"/>
          <w:u w:val="single" w:color="auto"/>
        </w:rPr>
        <w:t>５　計画の推進と検証・見直し</w:t>
      </w:r>
    </w:p>
    <w:p>
      <w:pPr>
        <w:pStyle w:val="0"/>
        <w:outlineLvl w:val="1"/>
        <w:rPr>
          <w:rFonts w:hint="default" w:ascii="ＭＳ ゴシック" w:hAnsi="ＭＳ ゴシック" w:eastAsia="ＭＳ ゴシック"/>
          <w:sz w:val="26"/>
          <w:u w:val="single" w:color="auto"/>
        </w:rPr>
      </w:pPr>
      <w:r>
        <w:rPr>
          <w:rFonts w:hint="eastAsia" w:ascii="ＭＳ ゴシック" w:hAnsi="ＭＳ ゴシック" w:eastAsia="ＭＳ ゴシック"/>
          <w:sz w:val="24"/>
          <w:u w:val="none" w:color="auto"/>
        </w:rPr>
        <w:t>（１）推進体制</w:t>
      </w:r>
    </w:p>
    <w:p>
      <w:pPr>
        <w:pStyle w:val="0"/>
        <w:numPr>
          <w:ilvl w:val="0"/>
          <w:numId w:val="2"/>
        </w:numPr>
        <w:autoSpaceDE w:val="0"/>
        <w:autoSpaceDN w:val="0"/>
        <w:adjustRightInd w:val="0"/>
        <w:spacing w:line="360" w:lineRule="exact"/>
        <w:jc w:val="left"/>
        <w:rPr>
          <w:rFonts w:hint="default"/>
        </w:rPr>
      </w:pPr>
      <w:r>
        <w:rPr>
          <w:rFonts w:hint="eastAsia"/>
          <w:kern w:val="0"/>
        </w:rPr>
        <w:t>障害者施策は、福祉、保健、医療、教育、就労、生活環境等多くの分野にまたがっているため、障害の特性やライフステージに応じたきめ細かな一貫したサービスが提供できるよう関係部局・機関が連携し、総合的に取り組みます。</w:t>
      </w:r>
    </w:p>
    <w:p>
      <w:pPr>
        <w:pStyle w:val="0"/>
        <w:autoSpaceDE w:val="0"/>
        <w:autoSpaceDN w:val="0"/>
        <w:adjustRightInd w:val="0"/>
        <w:spacing w:line="360" w:lineRule="exact"/>
        <w:ind w:left="600"/>
        <w:jc w:val="left"/>
        <w:rPr>
          <w:rFonts w:hint="default"/>
        </w:rPr>
      </w:pPr>
    </w:p>
    <w:p>
      <w:pPr>
        <w:pStyle w:val="0"/>
        <w:numPr>
          <w:ilvl w:val="0"/>
          <w:numId w:val="2"/>
        </w:numPr>
        <w:autoSpaceDE w:val="0"/>
        <w:autoSpaceDN w:val="0"/>
        <w:adjustRightInd w:val="0"/>
        <w:spacing w:line="360" w:lineRule="exact"/>
        <w:jc w:val="left"/>
        <w:rPr>
          <w:rFonts w:hint="default"/>
        </w:rPr>
      </w:pPr>
      <w:r>
        <w:rPr>
          <w:rFonts w:hint="eastAsia"/>
          <w:kern w:val="0"/>
        </w:rPr>
        <w:t>県庁内の関係部局で構成する静岡県障害者計画等策定・推進協議会において、計画目標の進捗状況等を把握するとともに、計画の着実な推進を図ります。</w:t>
      </w:r>
    </w:p>
    <w:p>
      <w:pPr>
        <w:pStyle w:val="0"/>
        <w:autoSpaceDE w:val="0"/>
        <w:autoSpaceDN w:val="0"/>
        <w:adjustRightInd w:val="0"/>
        <w:spacing w:line="360" w:lineRule="exact"/>
        <w:ind w:left="600"/>
        <w:jc w:val="left"/>
        <w:rPr>
          <w:rFonts w:hint="default"/>
        </w:rPr>
      </w:pPr>
    </w:p>
    <w:p>
      <w:pPr>
        <w:pStyle w:val="0"/>
        <w:numPr>
          <w:ilvl w:val="0"/>
          <w:numId w:val="2"/>
        </w:numPr>
        <w:autoSpaceDE w:val="0"/>
        <w:autoSpaceDN w:val="0"/>
        <w:adjustRightInd w:val="0"/>
        <w:spacing w:line="360" w:lineRule="exact"/>
        <w:jc w:val="left"/>
        <w:rPr>
          <w:rFonts w:hint="default"/>
        </w:rPr>
      </w:pPr>
      <w:r>
        <w:rPr>
          <w:rFonts w:hint="eastAsia"/>
          <w:kern w:val="0"/>
        </w:rPr>
        <w:t>障害のある人に対する保健福祉サービスを地域の実情に応じて計画的に提供できるように市町と連携を図り、施策の効果的な推進に努めるとともに、圏域自立支援協議会</w:t>
      </w:r>
      <w:r>
        <w:rPr>
          <w:rFonts w:hint="eastAsia"/>
          <w:kern w:val="0"/>
          <w:vertAlign w:val="superscript"/>
        </w:rPr>
        <w:t>＊</w:t>
      </w:r>
      <w:r>
        <w:rPr>
          <w:rFonts w:hint="eastAsia"/>
          <w:kern w:val="0"/>
        </w:rPr>
        <w:t>を核として、圏域単位での計画的な推進を図ります。</w:t>
      </w:r>
    </w:p>
    <w:p>
      <w:pPr>
        <w:pStyle w:val="0"/>
        <w:autoSpaceDE w:val="0"/>
        <w:autoSpaceDN w:val="0"/>
        <w:adjustRightInd w:val="0"/>
        <w:spacing w:line="360" w:lineRule="exact"/>
        <w:ind w:left="600"/>
        <w:jc w:val="left"/>
        <w:rPr>
          <w:rFonts w:hint="default"/>
        </w:rPr>
      </w:pPr>
    </w:p>
    <w:p>
      <w:pPr>
        <w:pStyle w:val="0"/>
        <w:numPr>
          <w:ilvl w:val="0"/>
          <w:numId w:val="2"/>
        </w:numPr>
        <w:autoSpaceDE w:val="0"/>
        <w:autoSpaceDN w:val="0"/>
        <w:adjustRightInd w:val="0"/>
        <w:spacing w:line="360" w:lineRule="exact"/>
        <w:jc w:val="left"/>
        <w:rPr>
          <w:rFonts w:hint="default"/>
        </w:rPr>
      </w:pPr>
      <w:r>
        <w:rPr>
          <w:rFonts w:hint="eastAsia"/>
          <w:kern w:val="0"/>
        </w:rPr>
        <w:t>県と市町だけでなく、各関係機関、団体、事業所等の連携の下、全ての県民の参加と協力を得て、目標の実現を目指します。</w:t>
      </w:r>
    </w:p>
    <w:p>
      <w:pPr>
        <w:pStyle w:val="0"/>
        <w:ind w:left="240" w:hanging="240" w:hangingChars="100"/>
        <w:rPr>
          <w:rFonts w:hint="default"/>
        </w:rPr>
      </w:pPr>
    </w:p>
    <w:p>
      <w:pPr>
        <w:pStyle w:val="0"/>
        <w:outlineLvl w:val="1"/>
        <w:rPr>
          <w:rFonts w:hint="default" w:ascii="ＭＳ ゴシック" w:hAnsi="ＭＳ ゴシック" w:eastAsia="ＭＳ ゴシック"/>
          <w:sz w:val="26"/>
          <w:u w:val="single" w:color="auto"/>
        </w:rPr>
      </w:pPr>
      <w:r>
        <w:rPr>
          <w:rFonts w:hint="eastAsia" w:ascii="ＭＳ ゴシック" w:hAnsi="ＭＳ ゴシック" w:eastAsia="ＭＳ ゴシック"/>
          <w:sz w:val="24"/>
          <w:u w:val="none" w:color="auto"/>
        </w:rPr>
        <w:t>（２）検証見直し</w:t>
      </w:r>
    </w:p>
    <w:p>
      <w:pPr>
        <w:pStyle w:val="0"/>
        <w:numPr>
          <w:ilvl w:val="0"/>
          <w:numId w:val="2"/>
        </w:numPr>
        <w:autoSpaceDE w:val="0"/>
        <w:autoSpaceDN w:val="0"/>
        <w:adjustRightInd w:val="0"/>
        <w:spacing w:line="360" w:lineRule="exact"/>
        <w:jc w:val="left"/>
        <w:rPr>
          <w:rFonts w:hint="default"/>
        </w:rPr>
      </w:pPr>
      <w:r>
        <w:rPr>
          <w:rFonts w:hint="eastAsia"/>
          <w:kern w:val="0"/>
        </w:rPr>
        <w:t>障害者基本法に基づき設置された静岡県障害者施策推進協議会において、計画に基づく施策の実施状況の検証・評価を行うことに加え、関係団体が主催する会議に参加するなどして、障害のある人やその家族を始めとする関係者の意見を聴き、</w:t>
      </w:r>
      <w:r>
        <w:rPr>
          <w:rFonts w:hint="eastAsia"/>
        </w:rPr>
        <w:t>障害者施策のＰＤＣＡのサイクルを構築し、施策の適時適切な見直しを図っていきます。</w:t>
      </w:r>
    </w:p>
    <w:p>
      <w:pPr>
        <w:pStyle w:val="0"/>
        <w:autoSpaceDE w:val="0"/>
        <w:autoSpaceDN w:val="0"/>
        <w:adjustRightInd w:val="0"/>
        <w:spacing w:line="360" w:lineRule="exact"/>
        <w:ind w:left="600"/>
        <w:jc w:val="left"/>
        <w:rPr>
          <w:rFonts w:hint="default"/>
        </w:rPr>
      </w:pPr>
    </w:p>
    <w:p>
      <w:pPr>
        <w:pStyle w:val="0"/>
        <w:numPr>
          <w:ilvl w:val="0"/>
          <w:numId w:val="2"/>
        </w:numPr>
        <w:autoSpaceDE w:val="0"/>
        <w:autoSpaceDN w:val="0"/>
        <w:adjustRightInd w:val="0"/>
        <w:spacing w:line="360" w:lineRule="exact"/>
        <w:jc w:val="left"/>
        <w:rPr>
          <w:rFonts w:hint="default"/>
        </w:rPr>
      </w:pPr>
      <w:r>
        <w:rPr>
          <w:rFonts w:hint="eastAsia"/>
          <w:kern w:val="0"/>
        </w:rPr>
        <w:t>国における障害保健福祉制度の改革、社会情勢の変化及び静岡県障害者施策推進協議会の意見等を踏まえ、計画内容の見直しを行います。</w:t>
      </w:r>
    </w:p>
    <w:p>
      <w:pPr>
        <w:pStyle w:val="0"/>
        <w:rPr>
          <w:rFonts w:hint="default"/>
        </w:rPr>
      </w:pPr>
    </w:p>
    <w:p>
      <w:pPr>
        <w:pStyle w:val="0"/>
        <w:outlineLvl w:val="1"/>
        <w:rPr>
          <w:rFonts w:hint="default" w:ascii="ＭＳ ゴシック" w:hAnsi="ＭＳ ゴシック" w:eastAsia="ＭＳ ゴシック"/>
          <w:sz w:val="26"/>
          <w:u w:val="single" w:color="auto"/>
        </w:rPr>
      </w:pPr>
      <w:r>
        <w:rPr>
          <w:rFonts w:hint="eastAsia" w:ascii="ＭＳ ゴシック" w:hAnsi="ＭＳ ゴシック" w:eastAsia="ＭＳ ゴシック"/>
          <w:sz w:val="24"/>
          <w:u w:val="none" w:color="auto"/>
        </w:rPr>
        <w:t>（３）県・市町の役割分担</w:t>
      </w:r>
    </w:p>
    <w:p>
      <w:pPr>
        <w:pStyle w:val="0"/>
        <w:spacing w:line="360" w:lineRule="exact"/>
        <w:ind w:left="0" w:leftChars="0" w:firstLine="240" w:firstLineChars="100"/>
        <w:outlineLvl w:val="2"/>
        <w:rPr>
          <w:rFonts w:hint="default" w:ascii="ＭＳ ゴシック" w:hAnsi="ＭＳ ゴシック" w:eastAsia="ＭＳ ゴシック"/>
        </w:rPr>
      </w:pPr>
      <w:r>
        <w:rPr>
          <w:rFonts w:hint="eastAsia" w:ascii="ＭＳ ゴシック" w:hAnsi="ＭＳ ゴシック" w:eastAsia="ＭＳ ゴシック"/>
        </w:rPr>
        <w:t>①</w:t>
      </w:r>
      <w:r>
        <w:rPr>
          <w:rFonts w:hint="eastAsia" w:ascii="ＭＳ ゴシック" w:hAnsi="ＭＳ ゴシック" w:eastAsia="ＭＳ ゴシック"/>
        </w:rPr>
        <w:t xml:space="preserve"> </w:t>
      </w:r>
      <w:r>
        <w:rPr>
          <w:rFonts w:hint="eastAsia" w:ascii="ＭＳ ゴシック" w:hAnsi="ＭＳ ゴシック" w:eastAsia="ＭＳ ゴシック"/>
        </w:rPr>
        <w:t>県の役割</w:t>
      </w:r>
    </w:p>
    <w:p>
      <w:pPr>
        <w:pStyle w:val="0"/>
        <w:autoSpaceDE w:val="0"/>
        <w:autoSpaceDN w:val="0"/>
        <w:adjustRightInd w:val="0"/>
        <w:spacing w:line="360" w:lineRule="exact"/>
        <w:ind w:left="480" w:leftChars="200" w:firstLine="240" w:firstLineChars="100"/>
        <w:jc w:val="left"/>
        <w:rPr>
          <w:rFonts w:hint="default"/>
          <w:kern w:val="0"/>
        </w:rPr>
      </w:pPr>
      <w:r>
        <w:rPr>
          <w:rFonts w:hint="eastAsia"/>
          <w:kern w:val="0"/>
        </w:rPr>
        <w:t>県は、広域的な立場から、施設・事業等の適正配置の調整や障害保健福祉圏域間の調整、先導的施策の誘導、市町が行うことが困難な広域的あるいは専門的な取組を行うとともに、市町が行う事業や民間団体などの福祉活動への支援を行います。</w:t>
      </w:r>
    </w:p>
    <w:p>
      <w:pPr>
        <w:pStyle w:val="0"/>
        <w:autoSpaceDE w:val="0"/>
        <w:autoSpaceDN w:val="0"/>
        <w:adjustRightInd w:val="0"/>
        <w:spacing w:line="360" w:lineRule="exact"/>
        <w:ind w:left="480" w:leftChars="200" w:firstLine="240" w:firstLineChars="100"/>
        <w:jc w:val="left"/>
        <w:rPr>
          <w:rFonts w:hint="default" w:ascii="ＭＳ ゴシック" w:hAnsi="ＭＳ ゴシック" w:eastAsia="ＭＳ ゴシック"/>
          <w:b w:val="1"/>
        </w:rPr>
      </w:pPr>
      <w:r>
        <w:rPr>
          <w:rFonts w:hint="eastAsia"/>
          <w:kern w:val="0"/>
        </w:rPr>
        <w:t>また、市町単独では実施困難な事業等にあっては、障害保健福祉圏域内の市町間で連携を図りながら事業の推進に当たる必要があります。</w:t>
      </w:r>
    </w:p>
    <w:p>
      <w:pPr>
        <w:pStyle w:val="0"/>
        <w:autoSpaceDE w:val="0"/>
        <w:autoSpaceDN w:val="0"/>
        <w:adjustRightInd w:val="0"/>
        <w:spacing w:line="360" w:lineRule="exact"/>
        <w:ind w:left="480" w:leftChars="200" w:firstLine="241" w:firstLineChars="100"/>
        <w:jc w:val="left"/>
        <w:rPr>
          <w:rFonts w:hint="default" w:ascii="ＭＳ ゴシック" w:hAnsi="ＭＳ ゴシック" w:eastAsia="ＭＳ ゴシック"/>
          <w:b w:val="1"/>
        </w:rPr>
      </w:pPr>
    </w:p>
    <w:p>
      <w:pPr>
        <w:pStyle w:val="0"/>
        <w:spacing w:line="360" w:lineRule="exact"/>
        <w:ind w:firstLine="240" w:firstLineChars="100"/>
        <w:outlineLvl w:val="2"/>
        <w:rPr>
          <w:rFonts w:hint="default" w:ascii="ＭＳ ゴシック" w:hAnsi="ＭＳ ゴシック" w:eastAsia="ＭＳ ゴシック"/>
        </w:rPr>
      </w:pPr>
      <w:r>
        <w:rPr>
          <w:rFonts w:hint="eastAsia" w:ascii="ＭＳ ゴシック" w:hAnsi="ＭＳ ゴシック" w:eastAsia="ＭＳ ゴシック"/>
        </w:rPr>
        <w:t>②</w:t>
      </w:r>
      <w:r>
        <w:rPr>
          <w:rFonts w:hint="eastAsia" w:ascii="ＭＳ ゴシック" w:hAnsi="ＭＳ ゴシック" w:eastAsia="ＭＳ ゴシック"/>
        </w:rPr>
        <w:t xml:space="preserve"> </w:t>
      </w:r>
      <w:r>
        <w:rPr>
          <w:rFonts w:hint="eastAsia" w:ascii="ＭＳ ゴシック" w:hAnsi="ＭＳ ゴシック" w:eastAsia="ＭＳ ゴシック"/>
        </w:rPr>
        <w:t>市町の役割</w:t>
      </w:r>
    </w:p>
    <w:p>
      <w:pPr>
        <w:pStyle w:val="0"/>
        <w:autoSpaceDE w:val="0"/>
        <w:autoSpaceDN w:val="0"/>
        <w:adjustRightInd w:val="0"/>
        <w:spacing w:line="360" w:lineRule="exact"/>
        <w:ind w:left="480" w:leftChars="200" w:firstLine="240" w:firstLineChars="100"/>
        <w:jc w:val="left"/>
        <w:rPr>
          <w:rFonts w:hint="default" w:ascii="ＭＳ ゴシック" w:hAnsi="ＭＳ ゴシック" w:eastAsia="ＭＳ ゴシック"/>
          <w:b w:val="1"/>
        </w:rPr>
      </w:pPr>
      <w:r>
        <w:rPr>
          <w:rFonts w:hint="eastAsia"/>
          <w:kern w:val="0"/>
        </w:rPr>
        <w:t>市町は、住民に最も身近な立場から、住民ニーズを的確に把握し、地域での生活を支えるための基礎的できめ細かなサービスの提供を行うことが必要です。このため、保健、医療、福祉サービスを総合的・一体的に提供するための基盤整備などを進めていく役割が求められています。</w:t>
      </w:r>
    </w:p>
    <w:p>
      <w:pPr>
        <w:pStyle w:val="0"/>
        <w:autoSpaceDE w:val="0"/>
        <w:autoSpaceDN w:val="0"/>
        <w:adjustRightInd w:val="0"/>
        <w:spacing w:line="360" w:lineRule="exact"/>
        <w:ind w:left="480" w:leftChars="200" w:firstLine="241" w:firstLineChars="100"/>
        <w:jc w:val="left"/>
        <w:rPr>
          <w:rFonts w:hint="default" w:ascii="ＭＳ ゴシック" w:hAnsi="ＭＳ ゴシック" w:eastAsia="ＭＳ ゴシック"/>
          <w:b w:val="1"/>
        </w:rPr>
      </w:pPr>
    </w:p>
    <w:p>
      <w:pPr>
        <w:pStyle w:val="0"/>
        <w:outlineLvl w:val="1"/>
        <w:rPr>
          <w:rFonts w:hint="default" w:ascii="ＭＳ ゴシック" w:hAnsi="ＭＳ ゴシック" w:eastAsia="ＭＳ ゴシック"/>
          <w:sz w:val="26"/>
          <w:u w:val="single" w:color="auto"/>
        </w:rPr>
      </w:pPr>
      <w:r>
        <w:rPr>
          <w:rFonts w:hint="eastAsia" w:ascii="ＭＳ ゴシック" w:hAnsi="ＭＳ ゴシック" w:eastAsia="ＭＳ ゴシック"/>
          <w:sz w:val="24"/>
          <w:u w:val="none" w:color="auto"/>
        </w:rPr>
        <w:t>(</w:t>
      </w:r>
      <w:r>
        <w:rPr>
          <w:rFonts w:hint="eastAsia" w:ascii="ＭＳ ゴシック" w:hAnsi="ＭＳ ゴシック" w:eastAsia="ＭＳ ゴシック"/>
          <w:sz w:val="24"/>
          <w:u w:val="none" w:color="auto"/>
        </w:rPr>
        <w:t>４</w:t>
      </w:r>
      <w:r>
        <w:rPr>
          <w:rFonts w:hint="eastAsia" w:ascii="ＭＳ ゴシック" w:hAnsi="ＭＳ ゴシック" w:eastAsia="ＭＳ ゴシック"/>
          <w:sz w:val="24"/>
          <w:u w:val="none" w:color="auto"/>
        </w:rPr>
        <w:t>)</w:t>
      </w:r>
      <w:r>
        <w:rPr>
          <w:rFonts w:hint="eastAsia" w:ascii="ＭＳ ゴシック" w:hAnsi="ＭＳ ゴシック" w:eastAsia="ＭＳ ゴシック"/>
          <w:sz w:val="24"/>
          <w:u w:val="none" w:color="auto"/>
        </w:rPr>
        <w:t>県民の役割</w:t>
      </w:r>
    </w:p>
    <w:p>
      <w:pPr>
        <w:pStyle w:val="0"/>
        <w:autoSpaceDE w:val="0"/>
        <w:autoSpaceDN w:val="0"/>
        <w:adjustRightInd w:val="0"/>
        <w:spacing w:line="360" w:lineRule="exact"/>
        <w:ind w:left="283" w:leftChars="118" w:firstLine="281" w:firstLineChars="117"/>
        <w:jc w:val="left"/>
        <w:rPr>
          <w:rFonts w:hint="default"/>
          <w:kern w:val="0"/>
        </w:rPr>
      </w:pPr>
      <w:r>
        <w:rPr>
          <w:rFonts w:hint="eastAsia"/>
          <w:kern w:val="0"/>
        </w:rPr>
        <w:t>障害福祉の推進に当たっては、障害のある人もない人も地域社会の中でともに支え合う県民総参加による地域共生社会の実現が求められており、障害のある人及びその障害に対する理解を深めるとともに、県民一人ひとりがお互いに、福祉の受け手であると同時に担い手でもあるという認識の下に、それぞれの立場で、自主的・積極的な活動を行うことが期待されています。</w:t>
      </w:r>
    </w:p>
    <w:p>
      <w:pPr>
        <w:pStyle w:val="0"/>
        <w:autoSpaceDE w:val="0"/>
        <w:autoSpaceDN w:val="0"/>
        <w:adjustRightInd w:val="0"/>
        <w:spacing w:line="360" w:lineRule="exact"/>
        <w:ind w:left="283" w:leftChars="118" w:firstLine="281" w:firstLineChars="117"/>
        <w:jc w:val="left"/>
        <w:rPr>
          <w:rFonts w:hint="default"/>
          <w:kern w:val="0"/>
        </w:rPr>
      </w:pPr>
      <w:r>
        <w:rPr>
          <w:rFonts w:hint="eastAsia"/>
          <w:kern w:val="0"/>
        </w:rPr>
        <w:t>このため、地域活動やボランティア活動に積極的に参加するとともに、地域の中でお互いに支え合う組織づくりや仲間づくりが望まれます。</w:t>
      </w:r>
    </w:p>
    <w:p>
      <w:pPr>
        <w:pStyle w:val="0"/>
        <w:rPr>
          <w:rFonts w:hint="default" w:ascii="ＭＳ ゴシック" w:hAnsi="ＭＳ ゴシック" w:eastAsia="ＭＳ ゴシック"/>
          <w:u w:val="single" w:color="auto"/>
        </w:rPr>
      </w:pPr>
    </w:p>
    <w:p>
      <w:pPr>
        <w:pStyle w:val="0"/>
        <w:rPr>
          <w:rFonts w:hint="default" w:ascii="ＭＳ ゴシック" w:hAnsi="ＭＳ ゴシック" w:eastAsia="ＭＳ ゴシック"/>
          <w:u w:val="single" w:color="auto"/>
        </w:rPr>
      </w:pPr>
    </w:p>
    <w:p>
      <w:pPr>
        <w:pStyle w:val="0"/>
        <w:outlineLvl w:val="0"/>
        <w:rPr>
          <w:rFonts w:hint="default" w:ascii="ＭＳ ゴシック" w:hAnsi="ＭＳ ゴシック"/>
          <w:b w:val="1"/>
          <w:color w:val="FFFFFF"/>
          <w:sz w:val="36"/>
        </w:rPr>
      </w:pPr>
    </w:p>
    <w:p>
      <w:pPr>
        <w:pStyle w:val="0"/>
        <w:outlineLvl w:val="0"/>
        <w:rPr>
          <w:rFonts w:hint="default" w:ascii="ＭＳ ゴシック" w:hAnsi="ＭＳ ゴシック"/>
          <w:b w:val="1"/>
          <w:color w:val="FFFFFF"/>
          <w:sz w:val="36"/>
        </w:rPr>
      </w:pPr>
    </w:p>
    <w:p>
      <w:pPr>
        <w:pStyle w:val="0"/>
        <w:outlineLvl w:val="0"/>
        <w:rPr>
          <w:rFonts w:hint="default" w:ascii="ＭＳ ゴシック" w:hAnsi="ＭＳ ゴシック"/>
          <w:b w:val="1"/>
          <w:color w:val="FFFFFF"/>
          <w:sz w:val="36"/>
        </w:rPr>
      </w:pPr>
    </w:p>
    <w:p>
      <w:pPr>
        <w:pStyle w:val="0"/>
        <w:outlineLvl w:val="0"/>
        <w:rPr>
          <w:rFonts w:hint="default" w:ascii="ＭＳ ゴシック" w:hAnsi="ＭＳ ゴシック"/>
          <w:b w:val="1"/>
          <w:color w:val="FFFFFF"/>
          <w:sz w:val="36"/>
        </w:rPr>
      </w:pPr>
    </w:p>
    <w:p>
      <w:pPr>
        <w:pStyle w:val="0"/>
        <w:outlineLvl w:val="0"/>
        <w:rPr>
          <w:rFonts w:hint="default" w:ascii="ＭＳ ゴシック" w:hAnsi="ＭＳ ゴシック"/>
          <w:b w:val="1"/>
          <w:color w:val="FFFFFF"/>
          <w:sz w:val="36"/>
        </w:rPr>
      </w:pPr>
    </w:p>
    <w:p>
      <w:pPr>
        <w:pStyle w:val="0"/>
        <w:outlineLvl w:val="0"/>
        <w:rPr>
          <w:rFonts w:hint="default" w:ascii="ＭＳ ゴシック" w:hAnsi="ＭＳ ゴシック"/>
          <w:b w:val="1"/>
          <w:color w:val="FFFFFF"/>
          <w:sz w:val="36"/>
        </w:rPr>
      </w:pPr>
    </w:p>
    <w:p>
      <w:pPr>
        <w:pStyle w:val="0"/>
        <w:outlineLvl w:val="0"/>
        <w:rPr>
          <w:rFonts w:hint="default" w:ascii="ＭＳ ゴシック" w:hAnsi="ＭＳ ゴシック"/>
          <w:b w:val="1"/>
          <w:color w:val="FFFFFF"/>
          <w:sz w:val="36"/>
        </w:rPr>
      </w:pPr>
    </w:p>
    <w:p>
      <w:pPr>
        <w:pStyle w:val="0"/>
        <w:outlineLvl w:val="0"/>
        <w:rPr>
          <w:rFonts w:hint="default" w:ascii="ＭＳ ゴシック" w:hAnsi="ＭＳ ゴシック"/>
          <w:b w:val="1"/>
          <w:color w:val="FFFFFF"/>
          <w:sz w:val="36"/>
        </w:rPr>
      </w:pPr>
    </w:p>
    <w:p>
      <w:pPr>
        <w:pStyle w:val="0"/>
        <w:outlineLvl w:val="0"/>
        <w:rPr>
          <w:rFonts w:hint="default" w:ascii="ＭＳ ゴシック" w:hAnsi="ＭＳ ゴシック"/>
          <w:b w:val="1"/>
          <w:color w:val="FFFFFF"/>
          <w:sz w:val="36"/>
        </w:rPr>
      </w:pPr>
    </w:p>
    <w:p>
      <w:pPr>
        <w:pStyle w:val="0"/>
        <w:outlineLvl w:val="0"/>
        <w:rPr>
          <w:rFonts w:hint="default" w:ascii="ＭＳ ゴシック" w:hAnsi="ＭＳ ゴシック"/>
          <w:b w:val="1"/>
          <w:color w:val="FFFFFF"/>
          <w:sz w:val="36"/>
        </w:rPr>
      </w:pPr>
    </w:p>
    <w:p>
      <w:pPr>
        <w:pStyle w:val="0"/>
        <w:outlineLvl w:val="0"/>
        <w:rPr>
          <w:rFonts w:hint="default" w:ascii="ＭＳ ゴシック" w:hAnsi="ＭＳ ゴシック"/>
          <w:b w:val="1"/>
          <w:color w:val="FFFFFF"/>
          <w:sz w:val="36"/>
        </w:rPr>
      </w:pPr>
    </w:p>
    <w:p>
      <w:pPr>
        <w:rPr>
          <w:rFonts w:hint="default" w:ascii="ＭＳ ゴシック" w:hAnsi="ＭＳ ゴシック"/>
          <w:b w:val="1"/>
          <w:color w:val="FFFFFF"/>
          <w:sz w:val="36"/>
        </w:rPr>
        <w:sectPr>
          <w:pgSz w:w="11906" w:h="16838"/>
          <w:pgMar w:top="1134" w:right="1021" w:bottom="1134" w:left="1134" w:header="284" w:footer="284" w:gutter="0"/>
          <w:cols w:space="720"/>
          <w:textDirection w:val="lrTb"/>
          <w:docGrid w:type="lines" w:linePitch="428"/>
        </w:sectPr>
      </w:pPr>
    </w:p>
    <w:p>
      <w:pPr>
        <w:pStyle w:val="0"/>
        <w:outlineLvl w:val="0"/>
        <w:rPr>
          <w:rFonts w:hint="default" w:ascii="ＭＳ ゴシック" w:hAnsi="ＭＳ ゴシック"/>
          <w:b w:val="1"/>
          <w:color w:val="FFFFFF"/>
          <w:sz w:val="36"/>
        </w:rPr>
      </w:pPr>
      <w:r>
        <w:rPr>
          <w:rFonts w:hint="eastAsia" w:ascii="ＭＳ ゴシック" w:hAnsi="ＭＳ ゴシック"/>
          <w:b w:val="1"/>
          <w:color w:val="FFFFFF"/>
          <w:sz w:val="36"/>
        </w:rPr>
        <w:t>Ⅱ　障害のある人を取り巻く状況</w:t>
      </w:r>
      <w:r>
        <w:rPr>
          <w:rFonts w:hint="eastAsia" w:ascii="ＭＳ ゴシック" w:hAnsi="ＭＳ ゴシック"/>
          <w:b w:val="1"/>
          <w:color w:val="FFFFFF"/>
          <w:sz w:val="36"/>
        </w:rPr>
        <mc:AlternateContent>
          <mc:Choice Requires="wps">
            <w:drawing>
              <wp:anchor distT="0" distB="0" distL="114300" distR="114300" simplePos="0" relativeHeight="14" behindDoc="0" locked="0" layoutInCell="1" hidden="0" allowOverlap="1">
                <wp:simplePos x="0" y="0"/>
                <wp:positionH relativeFrom="column">
                  <wp:posOffset>0</wp:posOffset>
                </wp:positionH>
                <wp:positionV relativeFrom="paragraph">
                  <wp:posOffset>0</wp:posOffset>
                </wp:positionV>
                <wp:extent cx="6120130" cy="335915"/>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a:spLocks noChangeArrowheads="1"/>
                      </wps:cNvSpPr>
                      <wps:spPr>
                        <a:xfrm>
                          <a:off x="0" y="0"/>
                          <a:ext cx="6120130" cy="335915"/>
                        </a:xfrm>
                        <a:prstGeom prst="roundRect">
                          <a:avLst>
                            <a:gd name="adj" fmla="val 16695"/>
                          </a:avLst>
                        </a:prstGeom>
                        <a:solidFill>
                          <a:srgbClr val="C0C0C0">
                            <a:alpha val="39999"/>
                          </a:srgbClr>
                        </a:solidFill>
                        <a:ln w="9525">
                          <a:solidFill>
                            <a:srgbClr val="C0C0C0"/>
                          </a:solidFill>
                        </a:ln>
                      </wps:spPr>
                      <wps:txbx>
                        <w:txbxContent>
                          <w:p>
                            <w:pPr>
                              <w:pStyle w:val="0"/>
                              <w:rPr>
                                <w:rFonts w:hint="default" w:ascii="ＭＳ ゴシック" w:hAnsi="ＭＳ ゴシック" w:eastAsia="ＭＳ ゴシック"/>
                                <w:sz w:val="28"/>
                              </w:rPr>
                            </w:pPr>
                            <w:r>
                              <w:rPr>
                                <w:rFonts w:hint="eastAsia" w:ascii="ＭＳ ゴシック" w:hAnsi="ＭＳ ゴシック" w:eastAsia="ＭＳ ゴシック"/>
                                <w:sz w:val="28"/>
                              </w:rPr>
                              <w:t>Ⅱ　障害のある人を取り巻く状況</w:t>
                            </w:r>
                          </w:p>
                        </w:txbxContent>
                      </wps:txbx>
                      <wps:bodyPr vertOverflow="overflow" horzOverflow="overflow" lIns="74295" tIns="8890" rIns="74295" bIns="8890" upright="1"/>
                    </wps:wsp>
                  </a:graphicData>
                </a:graphic>
              </wp:anchor>
            </w:drawing>
          </mc:Choice>
          <mc:Fallback>
            <w:pict>
              <v:roundrect id="オブジェクト 0" style="mso-wrap-distance-right:9pt;mso-wrap-distance-bottom:0pt;margin-top:0pt;mso-position-vertical-relative:text;mso-position-horizontal-relative:text;position:absolute;height:26.45pt;mso-wrap-distance-top:0pt;width:481.9pt;mso-wrap-distance-left:9pt;margin-left:0pt;z-index:14;" o:spid="_x0000_s1041" o:allowincell="t" o:allowoverlap="t" filled="t" fillcolor="#c0c0c0" stroked="t" strokecolor="#c0c0c0" strokeweight="0.75pt" o:spt="2" arcsize="10941f">
                <v:fill opacity="26213f"/>
                <v:stroke filltype="solid"/>
                <v:textbox style="layout-flow:horizontal;" inset="2.0637499999999998mm,0.24694444444444438mm,2.0637499999999998mm,0.24694444444444438mm">
                  <w:txbxContent>
                    <w:p>
                      <w:pPr>
                        <w:pStyle w:val="0"/>
                        <w:rPr>
                          <w:rFonts w:hint="default" w:ascii="ＭＳ ゴシック" w:hAnsi="ＭＳ ゴシック" w:eastAsia="ＭＳ ゴシック"/>
                          <w:sz w:val="28"/>
                        </w:rPr>
                      </w:pPr>
                      <w:r>
                        <w:rPr>
                          <w:rFonts w:hint="eastAsia" w:ascii="ＭＳ ゴシック" w:hAnsi="ＭＳ ゴシック" w:eastAsia="ＭＳ ゴシック"/>
                          <w:sz w:val="28"/>
                        </w:rPr>
                        <w:t>Ⅱ　障害のある人を取り巻く状況</w:t>
                      </w:r>
                    </w:p>
                  </w:txbxContent>
                </v:textbox>
                <v:imagedata o:title=""/>
                <w10:wrap type="none" anchorx="text" anchory="text"/>
              </v:roundrect>
            </w:pict>
          </mc:Fallback>
        </mc:AlternateContent>
      </w:r>
      <w:r>
        <w:rPr>
          <w:rFonts w:hint="eastAsia" w:ascii="ＭＳ ゴシック" w:hAnsi="ＭＳ ゴシック"/>
          <w:b w:val="1"/>
          <w:color w:val="FFFFFF"/>
          <w:sz w:val="36"/>
        </w:rPr>
        <w:t>と取組の方向性</w:t>
      </w:r>
    </w:p>
    <w:p>
      <w:pPr>
        <w:pStyle w:val="0"/>
        <w:outlineLvl w:val="1"/>
        <w:rPr>
          <w:rFonts w:hint="default" w:ascii="ＭＳ ゴシック" w:hAnsi="ＭＳ ゴシック" w:eastAsia="ＭＳ ゴシック"/>
          <w:sz w:val="26"/>
          <w:u w:val="single" w:color="auto"/>
        </w:rPr>
      </w:pPr>
      <w:bookmarkStart w:id="43" w:name="_Toc500154045"/>
      <w:bookmarkEnd w:id="43"/>
      <w:bookmarkStart w:id="44" w:name="_Toc500154046"/>
      <w:bookmarkEnd w:id="44"/>
      <w:bookmarkStart w:id="45" w:name="_Toc500154047"/>
      <w:bookmarkEnd w:id="45"/>
      <w:bookmarkStart w:id="46" w:name="_Toc500154048"/>
      <w:bookmarkEnd w:id="46"/>
      <w:bookmarkStart w:id="47" w:name="_Toc500154049"/>
      <w:bookmarkEnd w:id="47"/>
      <w:r>
        <w:rPr>
          <w:rFonts w:hint="eastAsia" w:ascii="ＭＳ ゴシック" w:hAnsi="ＭＳ ゴシック" w:eastAsia="ＭＳ ゴシック"/>
          <w:sz w:val="26"/>
          <w:u w:val="single" w:color="auto"/>
        </w:rPr>
        <w:t>１　障害のある人の状況</w:t>
      </w:r>
      <w:bookmarkStart w:id="48" w:name="_Toc500154050"/>
      <w:bookmarkEnd w:id="48"/>
    </w:p>
    <w:p>
      <w:pPr>
        <w:pStyle w:val="0"/>
        <w:outlineLvl w:val="1"/>
        <w:rPr>
          <w:rFonts w:hint="default" w:ascii="ＭＳ ゴシック" w:hAnsi="ＭＳ ゴシック" w:eastAsia="ＭＳ ゴシック"/>
          <w:sz w:val="26"/>
          <w:u w:val="single" w:color="auto"/>
        </w:rPr>
      </w:pPr>
      <w:r>
        <w:rPr>
          <w:rFonts w:hint="eastAsia" w:ascii="ＭＳ ゴシック" w:hAnsi="ＭＳ ゴシック" w:eastAsia="ＭＳ ゴシック"/>
        </w:rPr>
        <w:t>（１）身体障害</w:t>
      </w:r>
    </w:p>
    <w:p>
      <w:pPr>
        <w:pStyle w:val="0"/>
        <w:autoSpaceDE w:val="0"/>
        <w:autoSpaceDN w:val="0"/>
        <w:adjustRightInd w:val="0"/>
        <w:spacing w:line="360" w:lineRule="exact"/>
        <w:ind w:left="588" w:leftChars="100" w:hanging="348" w:hangingChars="145"/>
        <w:jc w:val="left"/>
        <w:rPr>
          <w:rFonts w:hint="default"/>
          <w:kern w:val="0"/>
        </w:rPr>
      </w:pPr>
      <w:r>
        <w:rPr>
          <w:rFonts w:hint="eastAsia"/>
          <w:kern w:val="0"/>
        </w:rPr>
        <w:t>・</w:t>
      </w:r>
      <w:r>
        <w:rPr>
          <w:rFonts w:hint="eastAsia"/>
          <w:kern w:val="0"/>
        </w:rPr>
        <w:t xml:space="preserve"> </w:t>
      </w:r>
      <w:r>
        <w:rPr>
          <w:rFonts w:hint="eastAsia"/>
          <w:kern w:val="0"/>
        </w:rPr>
        <w:t>県内の身体障害のある人は、</w:t>
      </w:r>
      <w:r>
        <w:rPr>
          <w:rFonts w:hint="eastAsia"/>
          <w:kern w:val="0"/>
        </w:rPr>
        <w:t>2011</w:t>
      </w:r>
      <w:r>
        <w:rPr>
          <w:rFonts w:hint="eastAsia"/>
          <w:kern w:val="0"/>
        </w:rPr>
        <w:t>年度の</w:t>
      </w:r>
      <w:r>
        <w:rPr>
          <w:rFonts w:hint="eastAsia"/>
          <w:kern w:val="0"/>
        </w:rPr>
        <w:t>124,829</w:t>
      </w:r>
      <w:r>
        <w:rPr>
          <w:rFonts w:hint="eastAsia"/>
          <w:kern w:val="0"/>
        </w:rPr>
        <w:t>人から</w:t>
      </w:r>
      <w:r>
        <w:rPr>
          <w:rFonts w:hint="eastAsia"/>
          <w:kern w:val="0"/>
        </w:rPr>
        <w:t>2021</w:t>
      </w:r>
      <w:r>
        <w:rPr>
          <w:rFonts w:hint="eastAsia"/>
          <w:kern w:val="0"/>
        </w:rPr>
        <w:t>年度には</w:t>
      </w:r>
      <w:r>
        <w:rPr>
          <w:rFonts w:hint="eastAsia"/>
          <w:kern w:val="0"/>
        </w:rPr>
        <w:t>121,609</w:t>
      </w:r>
      <w:r>
        <w:rPr>
          <w:rFonts w:hint="eastAsia"/>
          <w:kern w:val="0"/>
        </w:rPr>
        <w:t>人へと</w:t>
      </w:r>
      <w:r>
        <w:rPr>
          <w:rFonts w:hint="eastAsia"/>
          <w:kern w:val="0"/>
        </w:rPr>
        <w:t>3,220</w:t>
      </w:r>
      <w:r>
        <w:rPr>
          <w:rFonts w:hint="eastAsia"/>
          <w:kern w:val="0"/>
        </w:rPr>
        <w:t>人</w:t>
      </w:r>
      <w:r>
        <w:rPr>
          <w:rFonts w:hint="default"/>
          <w:kern w:val="0"/>
        </w:rPr>
        <w:t>（</w:t>
      </w:r>
      <w:r>
        <w:rPr>
          <w:rFonts w:hint="eastAsia"/>
          <w:kern w:val="0"/>
        </w:rPr>
        <w:t>2.6</w:t>
      </w:r>
      <w:r>
        <w:rPr>
          <w:rFonts w:hint="eastAsia"/>
          <w:kern w:val="0"/>
        </w:rPr>
        <w:t>％</w:t>
      </w:r>
      <w:r>
        <w:rPr>
          <w:rFonts w:hint="default"/>
          <w:kern w:val="0"/>
        </w:rPr>
        <w:t>）</w:t>
      </w:r>
      <w:r>
        <w:rPr>
          <w:rFonts w:hint="eastAsia"/>
          <w:kern w:val="0"/>
        </w:rPr>
        <w:t>減少しています。</w:t>
      </w:r>
    </w:p>
    <w:p>
      <w:pPr>
        <w:pStyle w:val="0"/>
        <w:autoSpaceDE w:val="0"/>
        <w:autoSpaceDN w:val="0"/>
        <w:adjustRightInd w:val="0"/>
        <w:spacing w:line="360" w:lineRule="exact"/>
        <w:ind w:left="0" w:leftChars="0" w:firstLine="240" w:firstLineChars="100"/>
        <w:jc w:val="left"/>
        <w:rPr>
          <w:rFonts w:hint="default"/>
          <w:kern w:val="0"/>
        </w:rPr>
      </w:pPr>
    </w:p>
    <w:p>
      <w:pPr>
        <w:pStyle w:val="0"/>
        <w:autoSpaceDE w:val="0"/>
        <w:autoSpaceDN w:val="0"/>
        <w:adjustRightInd w:val="0"/>
        <w:spacing w:line="360" w:lineRule="exact"/>
        <w:ind w:left="588" w:leftChars="100" w:hanging="348" w:hangingChars="145"/>
        <w:jc w:val="left"/>
        <w:rPr>
          <w:rFonts w:hint="default"/>
          <w:kern w:val="0"/>
        </w:rPr>
      </w:pPr>
      <w:r>
        <w:rPr>
          <w:rFonts w:hint="eastAsia"/>
          <w:kern w:val="0"/>
        </w:rPr>
        <w:t>・</w:t>
      </w:r>
      <w:r>
        <w:rPr>
          <w:rFonts w:hint="eastAsia"/>
          <w:kern w:val="0"/>
        </w:rPr>
        <w:t xml:space="preserve"> </w:t>
      </w:r>
      <w:r>
        <w:rPr>
          <w:rFonts w:hint="eastAsia"/>
          <w:kern w:val="0"/>
        </w:rPr>
        <w:t>障害の種別では、「肢体不自由」が</w:t>
      </w:r>
      <w:r>
        <w:rPr>
          <w:rFonts w:hint="eastAsia"/>
          <w:kern w:val="0"/>
        </w:rPr>
        <w:t>49.1</w:t>
      </w:r>
      <w:r>
        <w:rPr>
          <w:rFonts w:hint="eastAsia"/>
          <w:kern w:val="0"/>
        </w:rPr>
        <w:t>％</w:t>
      </w:r>
      <w:r>
        <w:rPr>
          <w:rFonts w:hint="default"/>
          <w:kern w:val="0"/>
        </w:rPr>
        <w:t>（</w:t>
      </w:r>
      <w:r>
        <w:rPr>
          <w:rFonts w:hint="eastAsia"/>
          <w:kern w:val="0"/>
        </w:rPr>
        <w:t>2011</w:t>
      </w:r>
      <w:r>
        <w:rPr>
          <w:rFonts w:hint="eastAsia"/>
          <w:kern w:val="0"/>
        </w:rPr>
        <w:t>年度：</w:t>
      </w:r>
      <w:r>
        <w:rPr>
          <w:rFonts w:hint="eastAsia"/>
          <w:kern w:val="0"/>
        </w:rPr>
        <w:t>55.5</w:t>
      </w:r>
      <w:r>
        <w:rPr>
          <w:rFonts w:hint="eastAsia"/>
          <w:kern w:val="0"/>
        </w:rPr>
        <w:t>％</w:t>
      </w:r>
      <w:r>
        <w:rPr>
          <w:rFonts w:hint="default"/>
          <w:kern w:val="0"/>
        </w:rPr>
        <w:t>）</w:t>
      </w:r>
      <w:r>
        <w:rPr>
          <w:rFonts w:hint="eastAsia"/>
          <w:kern w:val="0"/>
        </w:rPr>
        <w:t>を占め、次いで「内部障害」が</w:t>
      </w:r>
      <w:r>
        <w:rPr>
          <w:rFonts w:hint="eastAsia"/>
          <w:kern w:val="0"/>
        </w:rPr>
        <w:t>35.4</w:t>
      </w:r>
      <w:r>
        <w:rPr>
          <w:rFonts w:hint="eastAsia"/>
          <w:kern w:val="0"/>
        </w:rPr>
        <w:t>％</w:t>
      </w:r>
      <w:r>
        <w:rPr>
          <w:rFonts w:hint="default"/>
          <w:kern w:val="0"/>
        </w:rPr>
        <w:t>（</w:t>
      </w:r>
      <w:r>
        <w:rPr>
          <w:rFonts w:hint="eastAsia"/>
          <w:kern w:val="0"/>
        </w:rPr>
        <w:t>2011</w:t>
      </w:r>
      <w:r>
        <w:rPr>
          <w:rFonts w:hint="eastAsia"/>
          <w:kern w:val="0"/>
        </w:rPr>
        <w:t>年度：</w:t>
      </w:r>
      <w:r>
        <w:rPr>
          <w:rFonts w:hint="eastAsia"/>
          <w:kern w:val="0"/>
        </w:rPr>
        <w:t>29.4</w:t>
      </w:r>
      <w:r>
        <w:rPr>
          <w:rFonts w:hint="eastAsia"/>
          <w:kern w:val="0"/>
        </w:rPr>
        <w:t>％</w:t>
      </w:r>
      <w:r>
        <w:rPr>
          <w:rFonts w:hint="default"/>
          <w:kern w:val="0"/>
        </w:rPr>
        <w:t>）</w:t>
      </w:r>
      <w:r>
        <w:rPr>
          <w:rFonts w:hint="eastAsia"/>
          <w:kern w:val="0"/>
        </w:rPr>
        <w:t>、</w:t>
      </w:r>
      <w:r>
        <w:rPr>
          <w:rFonts w:hint="eastAsia"/>
          <w:kern w:val="0"/>
        </w:rPr>
        <w:t xml:space="preserve"> </w:t>
      </w:r>
      <w:r>
        <w:rPr>
          <w:rFonts w:hint="eastAsia"/>
          <w:kern w:val="0"/>
        </w:rPr>
        <w:t>以下、「聴覚障害」</w:t>
      </w:r>
      <w:r>
        <w:rPr>
          <w:rFonts w:hint="eastAsia"/>
          <w:kern w:val="0"/>
        </w:rPr>
        <w:t>7.9</w:t>
      </w:r>
      <w:r>
        <w:rPr>
          <w:rFonts w:hint="eastAsia"/>
          <w:kern w:val="0"/>
        </w:rPr>
        <w:t>％</w:t>
      </w:r>
      <w:r>
        <w:rPr>
          <w:rFonts w:hint="default"/>
          <w:kern w:val="0"/>
        </w:rPr>
        <w:t>（</w:t>
      </w:r>
      <w:r>
        <w:rPr>
          <w:rFonts w:hint="eastAsia"/>
          <w:kern w:val="0"/>
        </w:rPr>
        <w:t>2011</w:t>
      </w:r>
      <w:r>
        <w:rPr>
          <w:rFonts w:hint="eastAsia"/>
          <w:kern w:val="0"/>
        </w:rPr>
        <w:t>年度：</w:t>
      </w:r>
      <w:r>
        <w:rPr>
          <w:rFonts w:hint="eastAsia"/>
          <w:kern w:val="0"/>
        </w:rPr>
        <w:t>7.2</w:t>
      </w:r>
      <w:r>
        <w:rPr>
          <w:rFonts w:hint="eastAsia"/>
          <w:kern w:val="0"/>
        </w:rPr>
        <w:t>％</w:t>
      </w:r>
      <w:r>
        <w:rPr>
          <w:rFonts w:hint="default"/>
          <w:kern w:val="0"/>
        </w:rPr>
        <w:t>）</w:t>
      </w:r>
      <w:r>
        <w:rPr>
          <w:rFonts w:hint="eastAsia"/>
          <w:kern w:val="0"/>
        </w:rPr>
        <w:t>、「視覚障害」</w:t>
      </w:r>
      <w:r>
        <w:rPr>
          <w:rFonts w:hint="default"/>
          <w:kern w:val="0"/>
        </w:rPr>
        <w:t>6.</w:t>
      </w:r>
      <w:r>
        <w:rPr>
          <w:rFonts w:hint="eastAsia"/>
          <w:kern w:val="0"/>
        </w:rPr>
        <w:t>3</w:t>
      </w:r>
      <w:r>
        <w:rPr>
          <w:rFonts w:hint="eastAsia"/>
          <w:kern w:val="0"/>
        </w:rPr>
        <w:t>％</w:t>
      </w:r>
      <w:r>
        <w:rPr>
          <w:rFonts w:hint="default"/>
          <w:kern w:val="0"/>
        </w:rPr>
        <w:t>（</w:t>
      </w:r>
      <w:r>
        <w:rPr>
          <w:rFonts w:hint="eastAsia"/>
          <w:kern w:val="0"/>
        </w:rPr>
        <w:t>2011</w:t>
      </w:r>
      <w:r>
        <w:rPr>
          <w:rFonts w:hint="eastAsia"/>
          <w:kern w:val="0"/>
        </w:rPr>
        <w:t>年度：</w:t>
      </w:r>
      <w:r>
        <w:rPr>
          <w:rFonts w:hint="eastAsia"/>
          <w:kern w:val="0"/>
        </w:rPr>
        <w:t>6.7</w:t>
      </w:r>
      <w:r>
        <w:rPr>
          <w:rFonts w:hint="eastAsia"/>
          <w:kern w:val="0"/>
        </w:rPr>
        <w:t>％</w:t>
      </w:r>
      <w:r>
        <w:rPr>
          <w:rFonts w:hint="default"/>
          <w:kern w:val="0"/>
        </w:rPr>
        <w:t>）</w:t>
      </w:r>
      <w:r>
        <w:rPr>
          <w:rFonts w:hint="eastAsia"/>
          <w:kern w:val="0"/>
        </w:rPr>
        <w:t>、「音声・言語・</w:t>
      </w:r>
      <w:r>
        <w:rPr>
          <w:rFonts w:hint="eastAsia"/>
          <w:kern w:val="0"/>
        </w:rPr>
        <w:t xml:space="preserve"> </w:t>
      </w:r>
      <w:r>
        <w:rPr>
          <w:rFonts w:hint="eastAsia"/>
          <w:kern w:val="0"/>
        </w:rPr>
        <w:t>咀嚼障害」</w:t>
      </w:r>
      <w:r>
        <w:rPr>
          <w:rFonts w:hint="default"/>
          <w:kern w:val="0"/>
        </w:rPr>
        <w:t>1.</w:t>
      </w:r>
      <w:r>
        <w:rPr>
          <w:rFonts w:hint="eastAsia"/>
          <w:kern w:val="0"/>
        </w:rPr>
        <w:t>3</w:t>
      </w:r>
      <w:r>
        <w:rPr>
          <w:rFonts w:hint="eastAsia"/>
          <w:kern w:val="0"/>
        </w:rPr>
        <w:t>％</w:t>
      </w:r>
      <w:r>
        <w:rPr>
          <w:rFonts w:hint="default"/>
          <w:kern w:val="0"/>
        </w:rPr>
        <w:t>（</w:t>
      </w:r>
      <w:r>
        <w:rPr>
          <w:rFonts w:hint="eastAsia"/>
          <w:kern w:val="0"/>
        </w:rPr>
        <w:t>2011</w:t>
      </w:r>
      <w:r>
        <w:rPr>
          <w:rFonts w:hint="eastAsia"/>
          <w:kern w:val="0"/>
        </w:rPr>
        <w:t>年度：</w:t>
      </w:r>
      <w:r>
        <w:rPr>
          <w:rFonts w:hint="eastAsia"/>
          <w:kern w:val="0"/>
        </w:rPr>
        <w:t>1.2</w:t>
      </w:r>
      <w:r>
        <w:rPr>
          <w:rFonts w:hint="eastAsia"/>
          <w:kern w:val="0"/>
        </w:rPr>
        <w:t>％</w:t>
      </w:r>
      <w:r>
        <w:rPr>
          <w:rFonts w:hint="default"/>
          <w:kern w:val="0"/>
        </w:rPr>
        <w:t>）</w:t>
      </w:r>
      <w:r>
        <w:rPr>
          <w:rFonts w:hint="eastAsia"/>
          <w:kern w:val="0"/>
        </w:rPr>
        <w:t>という状況です。</w:t>
      </w:r>
    </w:p>
    <w:p>
      <w:pPr>
        <w:pStyle w:val="0"/>
        <w:autoSpaceDE w:val="0"/>
        <w:autoSpaceDN w:val="0"/>
        <w:adjustRightInd w:val="0"/>
        <w:spacing w:line="360" w:lineRule="exact"/>
        <w:ind w:left="0" w:leftChars="0" w:firstLine="240" w:firstLineChars="100"/>
        <w:jc w:val="left"/>
        <w:rPr>
          <w:rFonts w:hint="default"/>
          <w:kern w:val="0"/>
        </w:rPr>
      </w:pPr>
    </w:p>
    <w:p>
      <w:pPr>
        <w:pStyle w:val="0"/>
        <w:spacing w:line="360" w:lineRule="exact"/>
        <w:ind w:left="602" w:leftChars="100" w:hanging="362" w:hangingChars="151"/>
        <w:rPr>
          <w:rFonts w:hint="default"/>
          <w:kern w:val="0"/>
        </w:rPr>
      </w:pPr>
      <w:r>
        <w:rPr>
          <w:rFonts w:hint="eastAsia"/>
          <w:kern w:val="0"/>
        </w:rPr>
        <w:t>・</w:t>
      </w:r>
      <w:r>
        <w:rPr>
          <w:rFonts w:hint="eastAsia"/>
          <w:kern w:val="0"/>
        </w:rPr>
        <w:t xml:space="preserve"> </w:t>
      </w:r>
      <w:r>
        <w:rPr>
          <w:rFonts w:hint="eastAsia"/>
          <w:kern w:val="0"/>
        </w:rPr>
        <w:t>視覚障害、肢体不自由のある人の比率は減少している一方で、内部障害は</w:t>
      </w:r>
      <w:r>
        <w:rPr>
          <w:rFonts w:hint="eastAsia"/>
          <w:kern w:val="0"/>
        </w:rPr>
        <w:t>6.0</w:t>
      </w:r>
      <w:r>
        <w:rPr>
          <w:rFonts w:hint="eastAsia"/>
          <w:kern w:val="0"/>
        </w:rPr>
        <w:t>ポイン</w:t>
      </w:r>
      <w:r>
        <w:rPr>
          <w:rFonts w:hint="eastAsia"/>
        </w:rPr>
        <mc:AlternateContent>
          <mc:Choice Requires="wps">
            <w:drawing>
              <wp:anchor distT="0" distB="0" distL="114300" distR="114300" simplePos="0" relativeHeight="12" behindDoc="0" locked="0" layoutInCell="1" hidden="0" allowOverlap="1">
                <wp:simplePos x="0" y="0"/>
                <wp:positionH relativeFrom="column">
                  <wp:posOffset>3825875</wp:posOffset>
                </wp:positionH>
                <wp:positionV relativeFrom="paragraph">
                  <wp:posOffset>306705</wp:posOffset>
                </wp:positionV>
                <wp:extent cx="685800" cy="289560"/>
                <wp:effectExtent l="0" t="0" r="635" b="635"/>
                <wp:wrapSquare wrapText="bothSides"/>
                <wp:docPr id="1042" name="オブジェクト 0"/>
                <a:graphic xmlns:a="http://schemas.openxmlformats.org/drawingml/2006/main">
                  <a:graphicData uri="http://schemas.microsoft.com/office/word/2010/wordprocessingShape">
                    <wps:wsp>
                      <wps:cNvPr id="1042" name="オブジェクト 0"/>
                      <wps:cNvSpPr txBox="1">
                        <a:spLocks noChangeArrowheads="1"/>
                      </wps:cNvSpPr>
                      <wps:spPr>
                        <a:xfrm>
                          <a:off x="0" y="0"/>
                          <a:ext cx="685800" cy="289560"/>
                        </a:xfrm>
                        <a:prstGeom prst="rect">
                          <a:avLst/>
                        </a:prstGeom>
                        <a:noFill/>
                        <a:ln>
                          <a:miter/>
                        </a:ln>
                      </wps:spPr>
                      <wps:txbx>
                        <w:txbxContent>
                          <w:p>
                            <w:pPr>
                              <w:pStyle w:val="0"/>
                              <w:jc w:val="center"/>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wps:txbx>
                      <wps:bodyPr vertOverflow="overflow" horzOverflow="overflow" lIns="74295" tIns="8890" rIns="74295" bIns="8890"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24.15pt;mso-position-vertical-relative:text;mso-position-horizontal-relative:text;position:absolute;mso-wrap-mode:square;height:22.8pt;mso-wrap-distance-top:0pt;width:54pt;mso-wrap-distance-left:9pt;margin-left:301.25pt;z-index:12;" o:spid="_x0000_s1042" o:allowincell="t" o:allowoverlap="t" filled="f" stroked="f" o:spt="202" type="#_x0000_t202">
                <v:fill/>
                <v:textbox style="layout-flow:horizontal;mso-fit-shape-to-text:t;" inset="2.0637499999999998mm,0.24694444444444438mm,2.0637499999999998mm,0.24694444444444438mm">
                  <w:txbxContent>
                    <w:p>
                      <w:pPr>
                        <w:pStyle w:val="0"/>
                        <w:jc w:val="center"/>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v:textbox>
                <v:imagedata o:title=""/>
                <w10:wrap type="square" side="both" anchorx="text" anchory="text"/>
              </v:shape>
            </w:pict>
          </mc:Fallback>
        </mc:AlternateContent>
      </w:r>
      <w:r>
        <w:rPr>
          <w:rFonts w:hint="eastAsia"/>
          <w:kern w:val="0"/>
        </w:rPr>
        <w:t>ト増加しています。</w:t>
      </w:r>
    </w:p>
    <w:p>
      <w:pPr>
        <w:pStyle w:val="0"/>
        <w:spacing w:line="360" w:lineRule="exact"/>
        <w:rPr>
          <w:rFonts w:hint="default"/>
          <w:kern w:val="0"/>
        </w:rPr>
      </w:pPr>
      <w:r>
        <w:rPr>
          <w:rFonts w:hint="eastAsia"/>
        </w:rPr>
        <mc:AlternateContent>
          <mc:Choice Requires="wps">
            <w:drawing>
              <wp:anchor distT="0" distB="0" distL="114300" distR="114300" simplePos="0" relativeHeight="11" behindDoc="0" locked="0" layoutInCell="1" hidden="0" allowOverlap="1">
                <wp:simplePos x="0" y="0"/>
                <wp:positionH relativeFrom="column">
                  <wp:posOffset>3825875</wp:posOffset>
                </wp:positionH>
                <wp:positionV relativeFrom="paragraph">
                  <wp:posOffset>72390</wp:posOffset>
                </wp:positionV>
                <wp:extent cx="685800" cy="289560"/>
                <wp:effectExtent l="0" t="0" r="635" b="635"/>
                <wp:wrapSquare wrapText="bothSides"/>
                <wp:docPr id="1043" name="オブジェクト 0"/>
                <a:graphic xmlns:a="http://schemas.openxmlformats.org/drawingml/2006/main">
                  <a:graphicData uri="http://schemas.microsoft.com/office/word/2010/wordprocessingShape">
                    <wps:wsp>
                      <wps:cNvPr id="1043" name="オブジェクト 0"/>
                      <wps:cNvSpPr txBox="1">
                        <a:spLocks noChangeArrowheads="1"/>
                      </wps:cNvSpPr>
                      <wps:spPr>
                        <a:xfrm>
                          <a:off x="0" y="0"/>
                          <a:ext cx="685800" cy="289560"/>
                        </a:xfrm>
                        <a:prstGeom prst="rect">
                          <a:avLst/>
                        </a:prstGeom>
                        <a:noFill/>
                        <a:ln>
                          <a:miter/>
                        </a:ln>
                      </wps:spPr>
                      <wps:txbx>
                        <w:txbxContent>
                          <w:p>
                            <w:pPr>
                              <w:pStyle w:val="0"/>
                              <w:jc w:val="center"/>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wps:txbx>
                      <wps:bodyPr vertOverflow="overflow" horzOverflow="overflow" lIns="74295" tIns="8890" rIns="74295" bIns="8890"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5.7pt;mso-position-vertical-relative:text;mso-position-horizontal-relative:text;position:absolute;mso-wrap-mode:square;height:22.8pt;mso-wrap-distance-top:0pt;width:54pt;mso-wrap-distance-left:9pt;margin-left:301.25pt;z-index:11;" o:spid="_x0000_s1043" o:allowincell="t" o:allowoverlap="t" filled="f" stroked="f" o:spt="202" type="#_x0000_t202">
                <v:fill/>
                <v:textbox style="layout-flow:horizontal;mso-fit-shape-to-text:t;" inset="2.0637499999999998mm,0.24694444444444438mm,2.0637499999999998mm,0.24694444444444438mm">
                  <w:txbxContent>
                    <w:p>
                      <w:pPr>
                        <w:pStyle w:val="0"/>
                        <w:jc w:val="center"/>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v:textbox>
                <v:imagedata o:title=""/>
                <w10:wrap type="square" side="both" anchorx="text" anchory="text"/>
              </v:shape>
            </w:pict>
          </mc:Fallback>
        </mc:AlternateContent>
      </w:r>
      <w:r>
        <w:rPr>
          <w:rFonts w:hint="default"/>
        </w:rPr>
        <mc:AlternateContent>
          <mc:Choice Requires="wps">
            <w:drawing>
              <wp:anchor distT="0" distB="0" distL="114300" distR="114300" simplePos="0" relativeHeight="10" behindDoc="0" locked="0" layoutInCell="1" hidden="0" allowOverlap="1">
                <wp:simplePos x="0" y="0"/>
                <wp:positionH relativeFrom="column">
                  <wp:posOffset>2474595</wp:posOffset>
                </wp:positionH>
                <wp:positionV relativeFrom="paragraph">
                  <wp:posOffset>206375</wp:posOffset>
                </wp:positionV>
                <wp:extent cx="685800" cy="289560"/>
                <wp:effectExtent l="0" t="0" r="635" b="635"/>
                <wp:wrapSquare wrapText="bothSides"/>
                <wp:docPr id="1044" name="オブジェクト 0"/>
                <a:graphic xmlns:a="http://schemas.openxmlformats.org/drawingml/2006/main">
                  <a:graphicData uri="http://schemas.microsoft.com/office/word/2010/wordprocessingShape">
                    <wps:wsp>
                      <wps:cNvPr id="1044" name="オブジェクト 0"/>
                      <wps:cNvSpPr txBox="1">
                        <a:spLocks noChangeArrowheads="1"/>
                      </wps:cNvSpPr>
                      <wps:spPr>
                        <a:xfrm>
                          <a:off x="0" y="0"/>
                          <a:ext cx="685800" cy="289560"/>
                        </a:xfrm>
                        <a:prstGeom prst="rect">
                          <a:avLst/>
                        </a:prstGeom>
                        <a:noFill/>
                        <a:ln>
                          <a:miter/>
                        </a:ln>
                      </wps:spPr>
                      <wps:txbx>
                        <w:txbxContent>
                          <w:p>
                            <w:pPr>
                              <w:pStyle w:val="0"/>
                              <w:jc w:val="center"/>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wps:txbx>
                      <wps:bodyPr vertOverflow="overflow" horzOverflow="overflow" lIns="74295" tIns="8890" rIns="74295" bIns="8890"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16.25pt;mso-position-vertical-relative:text;mso-position-horizontal-relative:text;position:absolute;mso-wrap-mode:square;height:22.8pt;mso-wrap-distance-top:0pt;width:54pt;mso-wrap-distance-left:9pt;margin-left:194.85pt;z-index:10;" o:spid="_x0000_s1044" o:allowincell="t" o:allowoverlap="t" filled="f" stroked="f" o:spt="202" type="#_x0000_t202">
                <v:fill/>
                <v:textbox style="layout-flow:horizontal;mso-fit-shape-to-text:t;" inset="2.0637499999999998mm,0.24694444444444438mm,2.0637499999999998mm,0.24694444444444438mm">
                  <w:txbxContent>
                    <w:p>
                      <w:pPr>
                        <w:pStyle w:val="0"/>
                        <w:jc w:val="center"/>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v:textbox>
                <v:imagedata o:title=""/>
                <w10:wrap type="square" side="both" anchorx="text" anchory="text"/>
              </v:shape>
            </w:pict>
          </mc:Fallback>
        </mc:AlternateContent>
      </w:r>
      <w:r>
        <w:rPr>
          <w:rFonts w:hint="eastAsia"/>
        </w:rPr>
        <w:drawing>
          <wp:anchor distT="0" distB="0" distL="203200" distR="203200" simplePos="0" relativeHeight="16" behindDoc="0" locked="0" layoutInCell="1" hidden="0" allowOverlap="1">
            <wp:simplePos x="0" y="0"/>
            <wp:positionH relativeFrom="column">
              <wp:posOffset>1281430</wp:posOffset>
            </wp:positionH>
            <wp:positionV relativeFrom="paragraph">
              <wp:posOffset>23495</wp:posOffset>
            </wp:positionV>
            <wp:extent cx="3228975" cy="2921635"/>
            <wp:effectExtent l="0" t="0" r="0" b="0"/>
            <wp:wrapSquare wrapText="bothSides"/>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15"/>
                    <a:stretch>
                      <a:fillRect/>
                    </a:stretch>
                  </pic:blipFill>
                  <pic:spPr>
                    <a:xfrm>
                      <a:off x="0" y="0"/>
                      <a:ext cx="3228975" cy="2921635"/>
                    </a:xfrm>
                    <a:prstGeom prst="rect">
                      <a:avLst/>
                    </a:prstGeom>
                    <a:noFill/>
                    <a:ln>
                      <a:miter/>
                    </a:ln>
                  </pic:spPr>
                </pic:pic>
              </a:graphicData>
            </a:graphic>
          </wp:anchor>
        </w:drawing>
      </w:r>
      <w:r>
        <w:rPr>
          <w:rFonts w:hint="eastAsia"/>
        </w:rPr>
        <w:t xml:space="preserve">    </w:t>
      </w:r>
    </w:p>
    <w:p>
      <w:pPr>
        <w:pStyle w:val="0"/>
        <w:autoSpaceDE w:val="0"/>
        <w:autoSpaceDN w:val="0"/>
        <w:adjustRightInd w:val="0"/>
        <w:spacing w:line="360" w:lineRule="exact"/>
        <w:ind w:left="240" w:leftChars="100" w:firstLine="0" w:firstLineChars="0"/>
        <w:jc w:val="left"/>
        <w:rPr>
          <w:rFonts w:hint="default"/>
          <w:kern w:val="0"/>
        </w:rPr>
      </w:pPr>
    </w:p>
    <w:p>
      <w:pPr>
        <w:pStyle w:val="0"/>
        <w:autoSpaceDE w:val="0"/>
        <w:autoSpaceDN w:val="0"/>
        <w:adjustRightInd w:val="0"/>
        <w:spacing w:line="360" w:lineRule="exact"/>
        <w:ind w:left="240" w:leftChars="100" w:firstLine="0" w:firstLineChars="0"/>
        <w:jc w:val="left"/>
        <w:rPr>
          <w:rFonts w:hint="default"/>
          <w:kern w:val="0"/>
        </w:rPr>
      </w:pP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0" w:leftChars="100" w:hanging="360" w:hangingChars="150"/>
        <w:jc w:val="left"/>
        <w:rPr>
          <w:rFonts w:hint="default"/>
          <w:kern w:val="0"/>
        </w:rPr>
      </w:pPr>
      <w:r>
        <w:rPr>
          <w:rFonts w:hint="eastAsia"/>
        </w:rPr>
        <w:t>・</w:t>
      </w:r>
      <w:r>
        <w:rPr>
          <w:rFonts w:hint="eastAsia"/>
        </w:rPr>
        <w:t xml:space="preserve"> </w:t>
      </w: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2" w:leftChars="100" w:hanging="362" w:hangingChars="151"/>
        <w:jc w:val="left"/>
        <w:rPr>
          <w:rFonts w:hint="default"/>
          <w:kern w:val="0"/>
        </w:rPr>
      </w:pPr>
      <w:r>
        <w:rPr>
          <w:rFonts w:hint="eastAsia"/>
          <w:kern w:val="0"/>
        </w:rPr>
        <w:t>・</w:t>
      </w:r>
      <w:r>
        <w:rPr>
          <w:rFonts w:hint="eastAsia"/>
          <w:kern w:val="0"/>
        </w:rPr>
        <w:t xml:space="preserve"> </w:t>
      </w:r>
      <w:r>
        <w:rPr>
          <w:rFonts w:hint="eastAsia"/>
          <w:kern w:val="0"/>
        </w:rPr>
        <w:t>重度障害</w:t>
      </w:r>
      <w:r>
        <w:rPr>
          <w:rFonts w:hint="default"/>
          <w:kern w:val="0"/>
        </w:rPr>
        <w:t>（</w:t>
      </w:r>
      <w:r>
        <w:rPr>
          <w:rFonts w:hint="eastAsia"/>
          <w:kern w:val="0"/>
        </w:rPr>
        <w:t>１級、２級</w:t>
      </w:r>
      <w:r>
        <w:rPr>
          <w:rFonts w:hint="default"/>
          <w:kern w:val="0"/>
        </w:rPr>
        <w:t>）</w:t>
      </w:r>
      <w:r>
        <w:rPr>
          <w:rFonts w:hint="eastAsia"/>
          <w:kern w:val="0"/>
        </w:rPr>
        <w:t>のある人の割合は、</w:t>
      </w:r>
      <w:r>
        <w:rPr>
          <w:rFonts w:hint="eastAsia"/>
          <w:kern w:val="0"/>
        </w:rPr>
        <w:t>2011</w:t>
      </w:r>
      <w:r>
        <w:rPr>
          <w:rFonts w:hint="eastAsia"/>
          <w:kern w:val="0"/>
        </w:rPr>
        <w:t>年度の</w:t>
      </w:r>
      <w:r>
        <w:rPr>
          <w:rFonts w:hint="eastAsia"/>
          <w:kern w:val="0"/>
        </w:rPr>
        <w:t>49.5</w:t>
      </w:r>
      <w:r>
        <w:rPr>
          <w:rFonts w:hint="eastAsia"/>
          <w:kern w:val="0"/>
        </w:rPr>
        <w:t>％から</w:t>
      </w:r>
      <w:r>
        <w:rPr>
          <w:rFonts w:hint="eastAsia"/>
          <w:kern w:val="0"/>
        </w:rPr>
        <w:t>2021</w:t>
      </w:r>
      <w:r>
        <w:rPr>
          <w:rFonts w:hint="eastAsia"/>
          <w:kern w:val="0"/>
        </w:rPr>
        <w:t>年度には</w:t>
      </w:r>
      <w:r>
        <w:rPr>
          <w:rFonts w:hint="eastAsia"/>
          <w:kern w:val="0"/>
        </w:rPr>
        <w:t>51.4</w:t>
      </w:r>
      <w:r>
        <w:rPr>
          <w:rFonts w:hint="eastAsia"/>
          <w:kern w:val="0"/>
        </w:rPr>
        <w:t>％へと、</w:t>
      </w:r>
      <w:r>
        <w:rPr>
          <w:rFonts w:hint="eastAsia"/>
          <w:kern w:val="0"/>
        </w:rPr>
        <w:t>1.9</w:t>
      </w:r>
      <w:r>
        <w:rPr>
          <w:rFonts w:hint="eastAsia"/>
          <w:kern w:val="0"/>
        </w:rPr>
        <w:t>ポイント増加しています。</w:t>
      </w:r>
    </w:p>
    <w:p>
      <w:pPr>
        <w:pStyle w:val="0"/>
        <w:autoSpaceDE w:val="0"/>
        <w:autoSpaceDN w:val="0"/>
        <w:adjustRightInd w:val="0"/>
        <w:spacing w:line="360" w:lineRule="exact"/>
        <w:ind w:left="600" w:leftChars="250" w:firstLine="240" w:firstLineChars="100"/>
        <w:jc w:val="left"/>
        <w:rPr>
          <w:rFonts w:hint="default"/>
          <w:kern w:val="0"/>
        </w:rPr>
      </w:pPr>
    </w:p>
    <w:p>
      <w:pPr>
        <w:pStyle w:val="0"/>
        <w:autoSpaceDE w:val="0"/>
        <w:autoSpaceDN w:val="0"/>
        <w:adjustRightInd w:val="0"/>
        <w:spacing w:line="360" w:lineRule="exact"/>
        <w:ind w:left="588" w:leftChars="100" w:hanging="348" w:hangingChars="145"/>
        <w:jc w:val="left"/>
        <w:rPr>
          <w:rFonts w:hint="default"/>
          <w:kern w:val="0"/>
        </w:rPr>
      </w:pPr>
      <w:r>
        <w:rPr>
          <w:rFonts w:hint="eastAsia"/>
          <w:kern w:val="0"/>
        </w:rPr>
        <w:t>・</w:t>
      </w:r>
      <w:r>
        <w:rPr>
          <w:rFonts w:hint="eastAsia"/>
          <w:kern w:val="0"/>
        </w:rPr>
        <w:t xml:space="preserve"> </w:t>
      </w:r>
      <w:r>
        <w:rPr>
          <w:rFonts w:hint="default"/>
          <w:kern w:val="0"/>
        </w:rPr>
        <w:t>65</w:t>
      </w:r>
      <w:r>
        <w:rPr>
          <w:rFonts w:hint="eastAsia"/>
          <w:kern w:val="0"/>
        </w:rPr>
        <w:t>歳以上の人の割合は、</w:t>
      </w:r>
      <w:r>
        <w:rPr>
          <w:rFonts w:hint="eastAsia"/>
          <w:kern w:val="0"/>
        </w:rPr>
        <w:t>2011</w:t>
      </w:r>
      <w:r>
        <w:rPr>
          <w:rFonts w:hint="eastAsia"/>
          <w:kern w:val="0"/>
        </w:rPr>
        <w:t>年度の</w:t>
      </w:r>
      <w:r>
        <w:rPr>
          <w:rFonts w:hint="eastAsia"/>
          <w:kern w:val="0"/>
        </w:rPr>
        <w:t>66.7</w:t>
      </w:r>
      <w:r>
        <w:rPr>
          <w:rFonts w:hint="eastAsia"/>
          <w:kern w:val="0"/>
        </w:rPr>
        <w:t>％から</w:t>
      </w:r>
      <w:r>
        <w:rPr>
          <w:rFonts w:hint="eastAsia"/>
          <w:kern w:val="0"/>
        </w:rPr>
        <w:t>2021</w:t>
      </w:r>
      <w:r>
        <w:rPr>
          <w:rFonts w:hint="eastAsia"/>
          <w:kern w:val="0"/>
        </w:rPr>
        <w:t>年度には</w:t>
      </w:r>
      <w:r>
        <w:rPr>
          <w:rFonts w:hint="eastAsia"/>
          <w:kern w:val="0"/>
        </w:rPr>
        <w:t>72.4</w:t>
      </w:r>
      <w:r>
        <w:rPr>
          <w:rFonts w:hint="eastAsia"/>
          <w:kern w:val="0"/>
        </w:rPr>
        <w:t>％へと、</w:t>
      </w:r>
      <w:r>
        <w:rPr>
          <w:rFonts w:hint="eastAsia"/>
          <w:kern w:val="0"/>
        </w:rPr>
        <w:t>5.7</w:t>
      </w:r>
      <w:r>
        <w:rPr>
          <w:rFonts w:hint="eastAsia"/>
          <w:kern w:val="0"/>
        </w:rPr>
        <w:t>ポイント増加しています。近年の状況は、</w:t>
      </w:r>
      <w:r>
        <w:rPr>
          <w:rFonts w:hint="default"/>
          <w:kern w:val="0"/>
        </w:rPr>
        <w:t>65</w:t>
      </w:r>
      <w:r>
        <w:rPr>
          <w:rFonts w:hint="eastAsia"/>
          <w:kern w:val="0"/>
        </w:rPr>
        <w:t>歳未満の障害のある人は減少している一方で、</w:t>
      </w:r>
      <w:r>
        <w:rPr>
          <w:rFonts w:hint="default"/>
          <w:kern w:val="0"/>
        </w:rPr>
        <w:t>65</w:t>
      </w:r>
      <w:r>
        <w:rPr>
          <w:rFonts w:hint="eastAsia"/>
          <w:kern w:val="0"/>
        </w:rPr>
        <w:t>歳以上の障害のある人の増加により障害のある人全体の数が高止まりしている状態であり、障害のある人の高齢化が加速しています。</w:t>
      </w: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0" w:leftChars="100" w:hanging="360" w:hangingChars="150"/>
        <w:jc w:val="left"/>
        <w:rPr>
          <w:rFonts w:hint="default"/>
          <w:kern w:val="0"/>
        </w:rPr>
      </w:pPr>
      <w:r>
        <w:rPr>
          <w:rFonts w:hint="eastAsia"/>
          <w:kern w:val="0"/>
        </w:rPr>
        <w:t>・</w:t>
      </w:r>
      <w:r>
        <w:rPr>
          <w:rFonts w:hint="eastAsia"/>
          <w:kern w:val="0"/>
        </w:rPr>
        <w:t xml:space="preserve"> </w:t>
      </w:r>
      <w:r>
        <w:rPr>
          <w:rFonts w:hint="eastAsia"/>
          <w:kern w:val="0"/>
        </w:rPr>
        <w:t>また、身体障害とな</w:t>
      </w:r>
      <w:r>
        <w:rPr>
          <w:rFonts w:hint="eastAsia"/>
          <w:color w:val="auto"/>
          <w:kern w:val="0"/>
          <w:u w:val="none" w:color="auto"/>
        </w:rPr>
        <w:t>る原因は、</w:t>
      </w:r>
      <w:r>
        <w:rPr>
          <w:rFonts w:hint="eastAsia"/>
          <w:kern w:val="0"/>
        </w:rPr>
        <w:t>後天的な疾病によるものが多いことが特徴です。</w:t>
      </w: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0" w:leftChars="100" w:hanging="360" w:hangingChars="150"/>
        <w:jc w:val="left"/>
        <w:rPr>
          <w:rFonts w:hint="default"/>
          <w:kern w:val="0"/>
        </w:rPr>
      </w:pPr>
      <w:r>
        <w:rPr>
          <w:rFonts w:hint="eastAsia"/>
        </w:rPr>
        <w:drawing>
          <wp:anchor distT="0" distB="0" distL="203200" distR="203200" simplePos="0" relativeHeight="17" behindDoc="0" locked="0" layoutInCell="1" hidden="0" allowOverlap="1">
            <wp:simplePos x="0" y="0"/>
            <wp:positionH relativeFrom="column">
              <wp:posOffset>-2540</wp:posOffset>
            </wp:positionH>
            <wp:positionV relativeFrom="paragraph">
              <wp:posOffset>352425</wp:posOffset>
            </wp:positionV>
            <wp:extent cx="3233420" cy="2654300"/>
            <wp:effectExtent l="0" t="0" r="0" b="0"/>
            <wp:wrapSquare wrapText="bothSides"/>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16"/>
                    <a:stretch>
                      <a:fillRect/>
                    </a:stretch>
                  </pic:blipFill>
                  <pic:spPr>
                    <a:xfrm>
                      <a:off x="0" y="0"/>
                      <a:ext cx="3233420" cy="2654300"/>
                    </a:xfrm>
                    <a:prstGeom prst="rect">
                      <a:avLst/>
                    </a:prstGeom>
                    <a:noFill/>
                    <a:ln>
                      <a:miter/>
                    </a:ln>
                  </pic:spPr>
                </pic:pic>
              </a:graphicData>
            </a:graphic>
          </wp:anchor>
        </w:drawing>
      </w:r>
      <w:r>
        <w:rPr>
          <w:rFonts w:hint="eastAsia"/>
        </w:rPr>
        <mc:AlternateContent>
          <mc:Choice Requires="wps">
            <w:drawing>
              <wp:anchor distT="0" distB="0" distL="114300" distR="114300" simplePos="0" relativeHeight="62" behindDoc="0" locked="0" layoutInCell="1" hidden="0" allowOverlap="1">
                <wp:simplePos x="0" y="0"/>
                <wp:positionH relativeFrom="column">
                  <wp:posOffset>5667375</wp:posOffset>
                </wp:positionH>
                <wp:positionV relativeFrom="paragraph">
                  <wp:posOffset>175895</wp:posOffset>
                </wp:positionV>
                <wp:extent cx="685800" cy="289560"/>
                <wp:effectExtent l="0" t="0" r="635" b="635"/>
                <wp:wrapSquare wrapText="bothSides"/>
                <wp:docPr id="1047" name="オブジェクト 0"/>
                <a:graphic xmlns:a="http://schemas.openxmlformats.org/drawingml/2006/main">
                  <a:graphicData uri="http://schemas.microsoft.com/office/word/2010/wordprocessingShape">
                    <wps:wsp>
                      <wps:cNvPr id="1047" name="オブジェクト 0"/>
                      <wps:cNvSpPr txBox="1">
                        <a:spLocks noChangeArrowheads="1"/>
                      </wps:cNvSpPr>
                      <wps:spPr>
                        <a:xfrm>
                          <a:off x="0" y="0"/>
                          <a:ext cx="685800" cy="289560"/>
                        </a:xfrm>
                        <a:prstGeom prst="rect">
                          <a:avLst/>
                        </a:prstGeom>
                        <a:noFill/>
                        <a:ln>
                          <a:miter/>
                        </a:ln>
                      </wps:spPr>
                      <wps:txbx>
                        <w:txbxContent>
                          <w:p>
                            <w:pPr>
                              <w:pStyle w:val="0"/>
                              <w:jc w:val="center"/>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wps:txbx>
                      <wps:bodyPr vertOverflow="overflow" horzOverflow="overflow" lIns="74295" tIns="8890" rIns="74295" bIns="8890"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13.85pt;mso-position-vertical-relative:text;mso-position-horizontal-relative:text;position:absolute;mso-wrap-mode:square;height:22.8pt;mso-wrap-distance-top:0pt;width:54pt;mso-wrap-distance-left:9pt;margin-left:446.25pt;z-index:62;" o:spid="_x0000_s1047" o:allowincell="t" o:allowoverlap="t" filled="f" stroked="f" o:spt="202" type="#_x0000_t202">
                <v:fill/>
                <v:textbox style="layout-flow:horizontal;mso-fit-shape-to-text:t;" inset="2.0637499999999998mm,0.24694444444444438mm,2.0637499999999998mm,0.24694444444444438mm">
                  <w:txbxContent>
                    <w:p>
                      <w:pPr>
                        <w:pStyle w:val="0"/>
                        <w:jc w:val="center"/>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v:textbox>
                <v:imagedata o:title=""/>
                <w10:wrap type="square" side="both" anchorx="text" anchory="text"/>
              </v:shape>
            </w:pict>
          </mc:Fallback>
        </mc:AlternateContent>
      </w:r>
      <w:r>
        <w:rPr>
          <w:rFonts w:hint="eastAsia"/>
        </w:rPr>
        <mc:AlternateContent>
          <mc:Choice Requires="wps">
            <w:drawing>
              <wp:anchor distT="0" distB="0" distL="114300" distR="114300" simplePos="0" relativeHeight="61" behindDoc="0" locked="0" layoutInCell="1" hidden="0" allowOverlap="1">
                <wp:simplePos x="0" y="0"/>
                <wp:positionH relativeFrom="column">
                  <wp:posOffset>2578735</wp:posOffset>
                </wp:positionH>
                <wp:positionV relativeFrom="paragraph">
                  <wp:posOffset>175895</wp:posOffset>
                </wp:positionV>
                <wp:extent cx="685800" cy="289560"/>
                <wp:effectExtent l="0" t="0" r="635" b="635"/>
                <wp:wrapSquare wrapText="bothSides"/>
                <wp:docPr id="1048" name="オブジェクト 0"/>
                <a:graphic xmlns:a="http://schemas.openxmlformats.org/drawingml/2006/main">
                  <a:graphicData uri="http://schemas.microsoft.com/office/word/2010/wordprocessingShape">
                    <wps:wsp>
                      <wps:cNvPr id="1048" name="オブジェクト 0"/>
                      <wps:cNvSpPr txBox="1">
                        <a:spLocks noChangeArrowheads="1"/>
                      </wps:cNvSpPr>
                      <wps:spPr>
                        <a:xfrm>
                          <a:off x="0" y="0"/>
                          <a:ext cx="685800" cy="289560"/>
                        </a:xfrm>
                        <a:prstGeom prst="rect">
                          <a:avLst/>
                        </a:prstGeom>
                        <a:noFill/>
                        <a:ln>
                          <a:miter/>
                        </a:ln>
                      </wps:spPr>
                      <wps:txbx>
                        <w:txbxContent>
                          <w:p>
                            <w:pPr>
                              <w:pStyle w:val="0"/>
                              <w:jc w:val="center"/>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wps:txbx>
                      <wps:bodyPr vertOverflow="overflow" horzOverflow="overflow" lIns="74295" tIns="8890" rIns="74295" bIns="8890"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13.85pt;mso-position-vertical-relative:text;mso-position-horizontal-relative:text;position:absolute;mso-wrap-mode:square;height:22.8pt;mso-wrap-distance-top:0pt;width:54pt;mso-wrap-distance-left:9pt;margin-left:203.05pt;z-index:61;" o:spid="_x0000_s1048" o:allowincell="t" o:allowoverlap="t" filled="f" stroked="f" o:spt="202" type="#_x0000_t202">
                <v:fill/>
                <v:textbox style="layout-flow:horizontal;mso-fit-shape-to-text:t;" inset="2.0637499999999998mm,0.24694444444444438mm,2.0637499999999998mm,0.24694444444444438mm">
                  <w:txbxContent>
                    <w:p>
                      <w:pPr>
                        <w:pStyle w:val="0"/>
                        <w:jc w:val="center"/>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v:textbox>
                <v:imagedata o:title=""/>
                <w10:wrap type="square" side="both" anchorx="text" anchory="text"/>
              </v:shape>
            </w:pict>
          </mc:Fallback>
        </mc:AlternateContent>
      </w:r>
    </w:p>
    <w:p>
      <w:pPr>
        <w:pStyle w:val="0"/>
        <w:autoSpaceDE w:val="0"/>
        <w:autoSpaceDN w:val="0"/>
        <w:adjustRightInd w:val="0"/>
        <w:spacing w:line="360" w:lineRule="exact"/>
        <w:ind w:left="600" w:leftChars="100" w:hanging="360" w:hangingChars="150"/>
        <w:jc w:val="left"/>
        <w:rPr>
          <w:rFonts w:hint="default"/>
          <w:kern w:val="0"/>
        </w:rPr>
      </w:pPr>
      <w:r>
        <w:rPr>
          <w:rFonts w:hint="eastAsia"/>
        </w:rPr>
        <w:drawing>
          <wp:anchor distT="0" distB="0" distL="203200" distR="203200" simplePos="0" relativeHeight="60" behindDoc="0" locked="0" layoutInCell="1" hidden="0" allowOverlap="1">
            <wp:simplePos x="0" y="0"/>
            <wp:positionH relativeFrom="column">
              <wp:posOffset>3259455</wp:posOffset>
            </wp:positionH>
            <wp:positionV relativeFrom="paragraph">
              <wp:posOffset>123825</wp:posOffset>
            </wp:positionV>
            <wp:extent cx="3136265" cy="2627630"/>
            <wp:effectExtent l="0" t="0" r="0" b="0"/>
            <wp:wrapSquare wrapText="bothSides"/>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7"/>
                    <a:stretch>
                      <a:fillRect/>
                    </a:stretch>
                  </pic:blipFill>
                  <pic:spPr>
                    <a:xfrm>
                      <a:off x="0" y="0"/>
                      <a:ext cx="3136265" cy="2627630"/>
                    </a:xfrm>
                    <a:prstGeom prst="rect">
                      <a:avLst/>
                    </a:prstGeom>
                    <a:noFill/>
                    <a:ln>
                      <a:miter/>
                    </a:ln>
                  </pic:spPr>
                </pic:pic>
              </a:graphicData>
            </a:graphic>
          </wp:anchor>
        </w:drawing>
      </w:r>
    </w:p>
    <w:p>
      <w:pPr>
        <w:pStyle w:val="0"/>
        <w:autoSpaceDE w:val="0"/>
        <w:autoSpaceDN w:val="0"/>
        <w:adjustRightInd w:val="0"/>
        <w:spacing w:line="360" w:lineRule="exact"/>
        <w:jc w:val="left"/>
        <w:rPr>
          <w:rFonts w:hint="default"/>
          <w:kern w:val="0"/>
        </w:rPr>
      </w:pPr>
      <w:bookmarkStart w:id="49" w:name="_Toc500154051"/>
      <w:bookmarkEnd w:id="49"/>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kern w:val="0"/>
        </w:rPr>
      </w:pPr>
      <w:r>
        <w:rPr>
          <w:rFonts w:hint="eastAsia" w:ascii="ＭＳ ゴシック" w:hAnsi="ＭＳ ゴシック" w:eastAsia="ＭＳ ゴシック"/>
        </w:rPr>
        <w:t>（２）知的障害</w:t>
      </w:r>
    </w:p>
    <w:p>
      <w:pPr>
        <w:pStyle w:val="0"/>
        <w:autoSpaceDE w:val="0"/>
        <w:autoSpaceDN w:val="0"/>
        <w:adjustRightInd w:val="0"/>
        <w:spacing w:line="360" w:lineRule="exact"/>
        <w:ind w:left="600" w:leftChars="100" w:hanging="360" w:hangingChars="150"/>
        <w:jc w:val="left"/>
        <w:rPr>
          <w:rFonts w:hint="default"/>
        </w:rPr>
      </w:pPr>
      <w:r>
        <w:rPr>
          <w:rFonts w:hint="eastAsia"/>
        </w:rPr>
        <w:t>・</w:t>
      </w:r>
      <w:r>
        <w:rPr>
          <w:rFonts w:hint="eastAsia"/>
        </w:rPr>
        <w:t xml:space="preserve"> </w:t>
      </w:r>
      <w:r>
        <w:rPr>
          <w:rFonts w:hint="eastAsia"/>
          <w:kern w:val="0"/>
        </w:rPr>
        <w:t>県内の知的障害のある人は、</w:t>
      </w:r>
      <w:r>
        <w:rPr>
          <w:rFonts w:hint="eastAsia"/>
          <w:kern w:val="0"/>
        </w:rPr>
        <w:t>2011</w:t>
      </w:r>
      <w:r>
        <w:rPr>
          <w:rFonts w:hint="eastAsia"/>
          <w:kern w:val="0"/>
        </w:rPr>
        <w:t>年度の</w:t>
      </w:r>
      <w:r>
        <w:rPr>
          <w:rFonts w:hint="eastAsia"/>
          <w:kern w:val="0"/>
        </w:rPr>
        <w:t>26,053</w:t>
      </w:r>
      <w:r>
        <w:rPr>
          <w:rFonts w:hint="eastAsia"/>
          <w:kern w:val="0"/>
        </w:rPr>
        <w:t>人から</w:t>
      </w:r>
      <w:r>
        <w:rPr>
          <w:rFonts w:hint="eastAsia"/>
          <w:kern w:val="0"/>
        </w:rPr>
        <w:t>2021</w:t>
      </w:r>
      <w:r>
        <w:rPr>
          <w:rFonts w:hint="eastAsia"/>
          <w:kern w:val="0"/>
        </w:rPr>
        <w:t>年度には</w:t>
      </w:r>
      <w:r>
        <w:rPr>
          <w:rFonts w:hint="eastAsia"/>
          <w:kern w:val="0"/>
        </w:rPr>
        <w:t>36,743</w:t>
      </w:r>
      <w:r>
        <w:rPr>
          <w:rFonts w:hint="eastAsia"/>
          <w:kern w:val="0"/>
        </w:rPr>
        <w:t>人へと、</w:t>
      </w:r>
      <w:r>
        <w:rPr>
          <w:rFonts w:hint="eastAsia"/>
          <w:kern w:val="0"/>
        </w:rPr>
        <w:t>10,690</w:t>
      </w:r>
      <w:r>
        <w:rPr>
          <w:rFonts w:hint="eastAsia"/>
          <w:kern w:val="0"/>
        </w:rPr>
        <w:t>人</w:t>
      </w:r>
      <w:r>
        <w:rPr>
          <w:rFonts w:hint="default"/>
          <w:kern w:val="0"/>
        </w:rPr>
        <w:t>（</w:t>
      </w:r>
      <w:r>
        <w:rPr>
          <w:rFonts w:hint="eastAsia"/>
          <w:kern w:val="0"/>
        </w:rPr>
        <w:t>41.0</w:t>
      </w:r>
      <w:r>
        <w:rPr>
          <w:rFonts w:hint="eastAsia"/>
          <w:kern w:val="0"/>
        </w:rPr>
        <w:t>％</w:t>
      </w:r>
      <w:r>
        <w:rPr>
          <w:rFonts w:hint="default"/>
          <w:kern w:val="0"/>
        </w:rPr>
        <w:t>）</w:t>
      </w:r>
      <w:r>
        <w:rPr>
          <w:rFonts w:hint="eastAsia"/>
          <w:kern w:val="0"/>
        </w:rPr>
        <w:t>増加しています。全体数は、増加していますが、重度者の割合は、</w:t>
      </w:r>
      <w:r>
        <w:rPr>
          <w:rFonts w:hint="eastAsia"/>
          <w:kern w:val="0"/>
        </w:rPr>
        <w:t>2011</w:t>
      </w:r>
      <w:r>
        <w:rPr>
          <w:rFonts w:hint="eastAsia"/>
          <w:kern w:val="0"/>
        </w:rPr>
        <w:t>年度の</w:t>
      </w:r>
      <w:r>
        <w:rPr>
          <w:rFonts w:hint="eastAsia"/>
          <w:kern w:val="0"/>
        </w:rPr>
        <w:t>39.2</w:t>
      </w:r>
      <w:r>
        <w:rPr>
          <w:rFonts w:hint="eastAsia"/>
          <w:kern w:val="0"/>
        </w:rPr>
        <w:t>％から</w:t>
      </w:r>
      <w:r>
        <w:rPr>
          <w:rFonts w:hint="eastAsia"/>
          <w:kern w:val="0"/>
        </w:rPr>
        <w:t>2021</w:t>
      </w:r>
      <w:r>
        <w:rPr>
          <w:rFonts w:hint="eastAsia"/>
          <w:kern w:val="0"/>
        </w:rPr>
        <w:t>年度には</w:t>
      </w:r>
      <w:r>
        <w:rPr>
          <w:rFonts w:hint="eastAsia"/>
          <w:kern w:val="0"/>
        </w:rPr>
        <w:t>32.2</w:t>
      </w:r>
      <w:r>
        <w:rPr>
          <w:rFonts w:hint="eastAsia"/>
          <w:kern w:val="0"/>
        </w:rPr>
        <w:t>％へと減少傾向にあります。</w:t>
      </w:r>
    </w:p>
    <w:p>
      <w:pPr>
        <w:pStyle w:val="0"/>
        <w:autoSpaceDE w:val="0"/>
        <w:autoSpaceDN w:val="0"/>
        <w:adjustRightInd w:val="0"/>
        <w:spacing w:line="360" w:lineRule="exact"/>
        <w:ind w:left="600" w:leftChars="100" w:hanging="360" w:hangingChars="150"/>
        <w:jc w:val="left"/>
        <w:rPr>
          <w:rFonts w:hint="default"/>
        </w:rPr>
      </w:pPr>
    </w:p>
    <w:p>
      <w:pPr>
        <w:pStyle w:val="0"/>
        <w:autoSpaceDE w:val="0"/>
        <w:autoSpaceDN w:val="0"/>
        <w:adjustRightInd w:val="0"/>
        <w:spacing w:line="360" w:lineRule="exact"/>
        <w:ind w:left="600" w:leftChars="100" w:hanging="360" w:hangingChars="150"/>
        <w:jc w:val="left"/>
        <w:rPr>
          <w:rFonts w:hint="default"/>
          <w:kern w:val="0"/>
        </w:rPr>
      </w:pPr>
      <w:r>
        <w:rPr>
          <w:rFonts w:hint="eastAsia"/>
        </w:rPr>
        <w:t>・</w:t>
      </w:r>
      <w:r>
        <w:rPr>
          <w:rFonts w:hint="eastAsia"/>
        </w:rPr>
        <w:t xml:space="preserve"> </w:t>
      </w:r>
      <w:r>
        <w:rPr>
          <w:rFonts w:hint="default"/>
          <w:kern w:val="0"/>
        </w:rPr>
        <w:t>65</w:t>
      </w:r>
      <w:r>
        <w:rPr>
          <w:rFonts w:hint="eastAsia"/>
          <w:kern w:val="0"/>
        </w:rPr>
        <w:t>歳以上の人の割合は、</w:t>
      </w:r>
      <w:r>
        <w:rPr>
          <w:rFonts w:hint="eastAsia"/>
          <w:kern w:val="0"/>
        </w:rPr>
        <w:t>2011</w:t>
      </w:r>
      <w:r>
        <w:rPr>
          <w:rFonts w:hint="eastAsia"/>
          <w:kern w:val="0"/>
        </w:rPr>
        <w:t>年度の</w:t>
      </w:r>
      <w:r>
        <w:rPr>
          <w:rFonts w:hint="eastAsia"/>
          <w:kern w:val="0"/>
        </w:rPr>
        <w:t>5.4</w:t>
      </w:r>
      <w:r>
        <w:rPr>
          <w:rFonts w:hint="eastAsia"/>
          <w:kern w:val="0"/>
        </w:rPr>
        <w:t>％から</w:t>
      </w:r>
      <w:r>
        <w:rPr>
          <w:rFonts w:hint="eastAsia"/>
          <w:kern w:val="0"/>
        </w:rPr>
        <w:t>2021</w:t>
      </w:r>
      <w:r>
        <w:rPr>
          <w:rFonts w:hint="eastAsia"/>
          <w:kern w:val="0"/>
        </w:rPr>
        <w:t>年度には</w:t>
      </w:r>
      <w:r>
        <w:rPr>
          <w:rFonts w:hint="eastAsia"/>
          <w:kern w:val="0"/>
        </w:rPr>
        <w:t>6.9</w:t>
      </w:r>
      <w:r>
        <w:rPr>
          <w:rFonts w:hint="eastAsia"/>
          <w:kern w:val="0"/>
        </w:rPr>
        <w:t>％へと、</w:t>
      </w:r>
      <w:r>
        <w:rPr>
          <w:rFonts w:hint="eastAsia"/>
          <w:kern w:val="0"/>
        </w:rPr>
        <w:t>1.5</w:t>
      </w:r>
      <w:r>
        <w:rPr>
          <w:rFonts w:hint="eastAsia"/>
          <w:kern w:val="0"/>
        </w:rPr>
        <w:t>ポイント増加しています。</w:t>
      </w:r>
      <w:bookmarkStart w:id="50" w:name="_Toc500154052"/>
      <w:bookmarkEnd w:id="50"/>
    </w:p>
    <w:p>
      <w:pPr>
        <w:pStyle w:val="0"/>
        <w:autoSpaceDE w:val="0"/>
        <w:autoSpaceDN w:val="0"/>
        <w:adjustRightInd w:val="0"/>
        <w:spacing w:line="360" w:lineRule="exact"/>
        <w:ind w:left="600" w:leftChars="100" w:hanging="360" w:hangingChars="150"/>
        <w:jc w:val="left"/>
        <w:rPr>
          <w:rFonts w:hint="default" w:ascii="ＭＳ ゴシック" w:hAnsi="ＭＳ ゴシック"/>
        </w:rPr>
      </w:pPr>
      <w:r>
        <w:rPr>
          <w:rFonts w:hint="eastAsia"/>
        </w:rPr>
        <w:drawing>
          <wp:anchor distT="0" distB="0" distL="203200" distR="203200" simplePos="0" relativeHeight="18" behindDoc="0" locked="0" layoutInCell="1" hidden="0" allowOverlap="1">
            <wp:simplePos x="0" y="0"/>
            <wp:positionH relativeFrom="column">
              <wp:posOffset>-13970</wp:posOffset>
            </wp:positionH>
            <wp:positionV relativeFrom="paragraph">
              <wp:posOffset>281305</wp:posOffset>
            </wp:positionV>
            <wp:extent cx="3232785" cy="2546985"/>
            <wp:effectExtent l="0" t="0" r="0" b="0"/>
            <wp:wrapSquare wrapText="bothSides"/>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8"/>
                    <a:stretch>
                      <a:fillRect/>
                    </a:stretch>
                  </pic:blipFill>
                  <pic:spPr>
                    <a:xfrm>
                      <a:off x="0" y="0"/>
                      <a:ext cx="3232785" cy="2546985"/>
                    </a:xfrm>
                    <a:prstGeom prst="rect">
                      <a:avLst/>
                    </a:prstGeom>
                    <a:noFill/>
                    <a:ln>
                      <a:miter/>
                    </a:ln>
                  </pic:spPr>
                </pic:pic>
              </a:graphicData>
            </a:graphic>
          </wp:anchor>
        </w:drawing>
      </w:r>
      <w:r>
        <w:rPr>
          <w:rFonts w:hint="eastAsia"/>
        </w:rPr>
        <w:drawing>
          <wp:anchor distT="0" distB="0" distL="203200" distR="203200" simplePos="0" relativeHeight="20" behindDoc="0" locked="0" layoutInCell="1" hidden="0" allowOverlap="1">
            <wp:simplePos x="0" y="0"/>
            <wp:positionH relativeFrom="column">
              <wp:posOffset>3218815</wp:posOffset>
            </wp:positionH>
            <wp:positionV relativeFrom="paragraph">
              <wp:posOffset>281305</wp:posOffset>
            </wp:positionV>
            <wp:extent cx="3141345" cy="2540000"/>
            <wp:effectExtent l="0" t="0" r="0" b="0"/>
            <wp:wrapSquare wrapText="bothSides"/>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19"/>
                    <a:stretch>
                      <a:fillRect/>
                    </a:stretch>
                  </pic:blipFill>
                  <pic:spPr>
                    <a:xfrm>
                      <a:off x="0" y="0"/>
                      <a:ext cx="3141345" cy="2540000"/>
                    </a:xfrm>
                    <a:prstGeom prst="rect">
                      <a:avLst/>
                    </a:prstGeom>
                    <a:noFill/>
                    <a:ln>
                      <a:miter/>
                    </a:ln>
                  </pic:spPr>
                </pic:pic>
              </a:graphicData>
            </a:graphic>
          </wp:anchor>
        </w:drawing>
      </w:r>
      <w:r>
        <w:rPr>
          <w:rFonts w:hint="eastAsia"/>
        </w:rPr>
        <mc:AlternateContent>
          <mc:Choice Requires="wps">
            <w:drawing>
              <wp:anchor distT="0" distB="0" distL="114300" distR="114300" simplePos="0" relativeHeight="15" behindDoc="0" locked="0" layoutInCell="1" hidden="0" allowOverlap="1">
                <wp:simplePos x="0" y="0"/>
                <wp:positionH relativeFrom="column">
                  <wp:posOffset>2474595</wp:posOffset>
                </wp:positionH>
                <wp:positionV relativeFrom="paragraph">
                  <wp:posOffset>99060</wp:posOffset>
                </wp:positionV>
                <wp:extent cx="571500" cy="228600"/>
                <wp:effectExtent l="0" t="0" r="635" b="635"/>
                <wp:wrapSquare wrapText="bothSides"/>
                <wp:docPr id="1052" name="オブジェクト 0"/>
                <a:graphic xmlns:a="http://schemas.openxmlformats.org/drawingml/2006/main">
                  <a:graphicData uri="http://schemas.microsoft.com/office/word/2010/wordprocessingShape">
                    <wps:wsp>
                      <wps:cNvPr id="1052" name="オブジェクト 0"/>
                      <wps:cNvSpPr txBox="1">
                        <a:spLocks noChangeArrowheads="1"/>
                      </wps:cNvSpPr>
                      <wps:spPr>
                        <a:xfrm>
                          <a:off x="0" y="0"/>
                          <a:ext cx="571500" cy="228600"/>
                        </a:xfrm>
                        <a:prstGeom prst="rect">
                          <a:avLst/>
                        </a:prstGeom>
                        <a:noFill/>
                        <a:ln>
                          <a:miter/>
                        </a:ln>
                      </wps:spPr>
                      <wps:txbx>
                        <w:txbxContent>
                          <w:p>
                            <w:pPr>
                              <w:pStyle w:val="0"/>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7.8pt;mso-position-vertical-relative:text;mso-position-horizontal-relative:text;position:absolute;mso-wrap-mode:square;height:18pt;mso-wrap-distance-top:0pt;width:45pt;mso-wrap-distance-left:9pt;margin-left:194.85pt;z-index:15;" o:spid="_x0000_s1052" o:allowincell="t" o:allowoverlap="t" filled="f" stroked="f" o:spt="202" type="#_x0000_t202">
                <v:fill/>
                <v:textbox style="layout-flow:horizontal;" inset="2.0637499999999998mm,0.24694444444444438mm,2.0637499999999998mm,0.24694444444444438mm">
                  <w:txbxContent>
                    <w:p>
                      <w:pPr>
                        <w:pStyle w:val="0"/>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v:textbox>
                <v:imagedata o:title=""/>
                <w10:wrap type="square" side="both" anchorx="text" anchory="text"/>
              </v:shape>
            </w:pict>
          </mc:Fallback>
        </mc:AlternateContent>
      </w:r>
      <w:r>
        <w:rPr>
          <w:rFonts w:hint="eastAsia"/>
        </w:rPr>
        <mc:AlternateContent>
          <mc:Choice Requires="wps">
            <w:drawing>
              <wp:anchor distT="0" distB="0" distL="114300" distR="114300" simplePos="0" relativeHeight="19" behindDoc="0" locked="0" layoutInCell="1" hidden="0" allowOverlap="1">
                <wp:simplePos x="0" y="0"/>
                <wp:positionH relativeFrom="column">
                  <wp:posOffset>5667375</wp:posOffset>
                </wp:positionH>
                <wp:positionV relativeFrom="paragraph">
                  <wp:posOffset>99060</wp:posOffset>
                </wp:positionV>
                <wp:extent cx="571500" cy="228600"/>
                <wp:effectExtent l="0" t="0" r="635" b="635"/>
                <wp:wrapSquare wrapText="bothSides"/>
                <wp:docPr id="1053" name="オブジェクト 0"/>
                <a:graphic xmlns:a="http://schemas.openxmlformats.org/drawingml/2006/main">
                  <a:graphicData uri="http://schemas.microsoft.com/office/word/2010/wordprocessingShape">
                    <wps:wsp>
                      <wps:cNvPr id="1053" name="オブジェクト 0"/>
                      <wps:cNvSpPr txBox="1">
                        <a:spLocks noChangeArrowheads="1"/>
                      </wps:cNvSpPr>
                      <wps:spPr>
                        <a:xfrm>
                          <a:off x="0" y="0"/>
                          <a:ext cx="571500" cy="228600"/>
                        </a:xfrm>
                        <a:prstGeom prst="rect">
                          <a:avLst/>
                        </a:prstGeom>
                        <a:noFill/>
                        <a:ln>
                          <a:miter/>
                        </a:ln>
                      </wps:spPr>
                      <wps:txbx>
                        <w:txbxContent>
                          <w:p>
                            <w:pPr>
                              <w:pStyle w:val="0"/>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7.8pt;mso-position-vertical-relative:text;mso-position-horizontal-relative:text;position:absolute;mso-wrap-mode:square;height:18pt;mso-wrap-distance-top:0pt;width:45pt;mso-wrap-distance-left:9pt;margin-left:446.25pt;z-index:19;" o:spid="_x0000_s1053" o:allowincell="t" o:allowoverlap="t" filled="f" stroked="f" o:spt="202" type="#_x0000_t202">
                <v:fill/>
                <v:textbox style="layout-flow:horizontal;" inset="2.0637499999999998mm,0.24694444444444438mm,2.0637499999999998mm,0.24694444444444438mm">
                  <w:txbxContent>
                    <w:p>
                      <w:pPr>
                        <w:pStyle w:val="0"/>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v:textbox>
                <v:imagedata o:title=""/>
                <w10:wrap type="square" side="both" anchorx="text" anchory="text"/>
              </v:shape>
            </w:pict>
          </mc:Fallback>
        </mc:AlternateContent>
      </w:r>
    </w:p>
    <w:p>
      <w:pPr>
        <w:pStyle w:val="0"/>
        <w:autoSpaceDE w:val="0"/>
        <w:autoSpaceDN w:val="0"/>
        <w:adjustRightInd w:val="0"/>
        <w:spacing w:line="360" w:lineRule="exact"/>
        <w:jc w:val="left"/>
        <w:rPr>
          <w:rFonts w:hint="default" w:ascii="ＭＳ ゴシック" w:hAnsi="ＭＳ ゴシック"/>
        </w:rPr>
      </w:pPr>
    </w:p>
    <w:p>
      <w:pPr>
        <w:pStyle w:val="0"/>
        <w:autoSpaceDE w:val="0"/>
        <w:autoSpaceDN w:val="0"/>
        <w:adjustRightInd w:val="0"/>
        <w:spacing w:line="360" w:lineRule="exact"/>
        <w:jc w:val="left"/>
        <w:rPr>
          <w:rFonts w:hint="default" w:ascii="ＭＳ ゴシック" w:hAnsi="ＭＳ ゴシック"/>
        </w:rPr>
      </w:pPr>
    </w:p>
    <w:p>
      <w:pPr>
        <w:pStyle w:val="0"/>
        <w:autoSpaceDE w:val="0"/>
        <w:autoSpaceDN w:val="0"/>
        <w:adjustRightInd w:val="0"/>
        <w:spacing w:line="360" w:lineRule="exact"/>
        <w:jc w:val="left"/>
        <w:rPr>
          <w:rFonts w:hint="default" w:ascii="ＭＳ ゴシック" w:hAnsi="ＭＳ ゴシック"/>
        </w:rPr>
      </w:pPr>
    </w:p>
    <w:p>
      <w:pPr>
        <w:pStyle w:val="0"/>
        <w:autoSpaceDE w:val="0"/>
        <w:autoSpaceDN w:val="0"/>
        <w:adjustRightInd w:val="0"/>
        <w:spacing w:line="360" w:lineRule="exact"/>
        <w:jc w:val="left"/>
        <w:rPr>
          <w:rFonts w:hint="default" w:ascii="ＭＳ ゴシック" w:hAnsi="ＭＳ ゴシック"/>
        </w:rPr>
      </w:pPr>
    </w:p>
    <w:p>
      <w:pPr>
        <w:pStyle w:val="0"/>
        <w:autoSpaceDE w:val="0"/>
        <w:autoSpaceDN w:val="0"/>
        <w:adjustRightInd w:val="0"/>
        <w:spacing w:line="360" w:lineRule="exact"/>
        <w:jc w:val="left"/>
        <w:rPr>
          <w:rFonts w:hint="default" w:ascii="ＭＳ ゴシック" w:hAnsi="ＭＳ ゴシック"/>
        </w:rPr>
      </w:pPr>
    </w:p>
    <w:p>
      <w:pPr>
        <w:pStyle w:val="0"/>
        <w:autoSpaceDE w:val="0"/>
        <w:autoSpaceDN w:val="0"/>
        <w:adjustRightInd w:val="0"/>
        <w:spacing w:line="360" w:lineRule="exact"/>
        <w:jc w:val="left"/>
        <w:rPr>
          <w:rFonts w:hint="default" w:ascii="ＭＳ ゴシック" w:hAnsi="ＭＳ ゴシック"/>
        </w:rPr>
      </w:pPr>
      <w:r>
        <w:rPr>
          <w:rFonts w:hint="eastAsia" w:ascii="ＭＳ ゴシック" w:hAnsi="ＭＳ ゴシック" w:eastAsia="ＭＳ ゴシック"/>
        </w:rPr>
        <w:t>（３）精神障害</w:t>
      </w:r>
      <w:bookmarkStart w:id="51" w:name="_Toc500154053"/>
      <w:bookmarkEnd w:id="51"/>
    </w:p>
    <w:p>
      <w:pPr>
        <w:pStyle w:val="0"/>
        <w:autoSpaceDE w:val="0"/>
        <w:autoSpaceDN w:val="0"/>
        <w:adjustRightInd w:val="0"/>
        <w:spacing w:line="360" w:lineRule="exact"/>
        <w:ind w:left="600" w:leftChars="100" w:hanging="360" w:hangingChars="150"/>
        <w:jc w:val="left"/>
        <w:rPr>
          <w:rFonts w:hint="default"/>
          <w:kern w:val="0"/>
        </w:rPr>
      </w:pPr>
      <w:r>
        <w:rPr>
          <w:rFonts w:hint="eastAsia"/>
          <w:kern w:val="0"/>
        </w:rPr>
        <w:t>・</w:t>
      </w:r>
      <w:r>
        <w:rPr>
          <w:rFonts w:hint="eastAsia"/>
          <w:kern w:val="0"/>
        </w:rPr>
        <w:t xml:space="preserve"> </w:t>
      </w:r>
      <w:r>
        <w:rPr>
          <w:rFonts w:hint="eastAsia"/>
          <w:kern w:val="0"/>
        </w:rPr>
        <w:t>県内の精神障害のある人の入院患者数は、</w:t>
      </w:r>
      <w:r>
        <w:rPr>
          <w:rFonts w:hint="eastAsia"/>
          <w:kern w:val="0"/>
        </w:rPr>
        <w:t>2011</w:t>
      </w:r>
      <w:r>
        <w:rPr>
          <w:rFonts w:hint="eastAsia"/>
          <w:kern w:val="0"/>
        </w:rPr>
        <w:t>年度の</w:t>
      </w:r>
      <w:r>
        <w:rPr>
          <w:rFonts w:hint="eastAsia"/>
          <w:kern w:val="0"/>
        </w:rPr>
        <w:t>6,014</w:t>
      </w:r>
      <w:r>
        <w:rPr>
          <w:rFonts w:hint="eastAsia"/>
          <w:kern w:val="0"/>
        </w:rPr>
        <w:t>人から</w:t>
      </w:r>
      <w:r>
        <w:rPr>
          <w:rFonts w:hint="eastAsia"/>
          <w:kern w:val="0"/>
        </w:rPr>
        <w:t>2021</w:t>
      </w:r>
      <w:r>
        <w:rPr>
          <w:rFonts w:hint="eastAsia"/>
          <w:kern w:val="0"/>
        </w:rPr>
        <w:t>年度には</w:t>
      </w:r>
      <w:r>
        <w:rPr>
          <w:rFonts w:hint="eastAsia"/>
          <w:kern w:val="0"/>
        </w:rPr>
        <w:t>5,269</w:t>
      </w:r>
      <w:r>
        <w:rPr>
          <w:rFonts w:hint="eastAsia"/>
          <w:kern w:val="0"/>
        </w:rPr>
        <w:t>人へと、</w:t>
      </w:r>
      <w:r>
        <w:rPr>
          <w:rFonts w:hint="eastAsia"/>
          <w:kern w:val="0"/>
        </w:rPr>
        <w:t>745</w:t>
      </w:r>
      <w:r>
        <w:rPr>
          <w:rFonts w:hint="eastAsia"/>
          <w:kern w:val="0"/>
        </w:rPr>
        <w:t>人</w:t>
      </w:r>
      <w:r>
        <w:rPr>
          <w:rFonts w:hint="default"/>
          <w:kern w:val="0"/>
        </w:rPr>
        <w:t>（</w:t>
      </w:r>
      <w:r>
        <w:rPr>
          <w:rFonts w:hint="eastAsia"/>
          <w:kern w:val="0"/>
        </w:rPr>
        <w:t>12.4</w:t>
      </w:r>
      <w:r>
        <w:rPr>
          <w:rFonts w:hint="eastAsia"/>
          <w:kern w:val="0"/>
        </w:rPr>
        <w:t>％</w:t>
      </w:r>
      <w:r>
        <w:rPr>
          <w:rFonts w:hint="default"/>
          <w:kern w:val="0"/>
        </w:rPr>
        <w:t>）</w:t>
      </w:r>
      <w:r>
        <w:rPr>
          <w:rFonts w:hint="eastAsia"/>
          <w:kern w:val="0"/>
        </w:rPr>
        <w:t>減少している一方、通院患者数は、</w:t>
      </w:r>
      <w:r>
        <w:rPr>
          <w:rFonts w:hint="eastAsia"/>
          <w:kern w:val="0"/>
        </w:rPr>
        <w:t>2011</w:t>
      </w:r>
      <w:r>
        <w:rPr>
          <w:rFonts w:hint="eastAsia"/>
          <w:kern w:val="0"/>
        </w:rPr>
        <w:t>年度の</w:t>
      </w:r>
      <w:r>
        <w:rPr>
          <w:rFonts w:hint="eastAsia"/>
          <w:kern w:val="0"/>
        </w:rPr>
        <w:t>34,364</w:t>
      </w:r>
      <w:r>
        <w:rPr>
          <w:rFonts w:hint="eastAsia"/>
          <w:kern w:val="0"/>
        </w:rPr>
        <w:t>人から</w:t>
      </w:r>
      <w:r>
        <w:rPr>
          <w:rFonts w:hint="eastAsia"/>
          <w:kern w:val="0"/>
        </w:rPr>
        <w:t>2021</w:t>
      </w:r>
      <w:r>
        <w:rPr>
          <w:rFonts w:hint="eastAsia"/>
          <w:kern w:val="0"/>
        </w:rPr>
        <w:t>年度には</w:t>
      </w:r>
      <w:r>
        <w:rPr>
          <w:rFonts w:hint="eastAsia"/>
          <w:kern w:val="0"/>
        </w:rPr>
        <w:t>54,728</w:t>
      </w:r>
      <w:r>
        <w:rPr>
          <w:rFonts w:hint="eastAsia"/>
          <w:kern w:val="0"/>
        </w:rPr>
        <w:t>人へと、</w:t>
      </w:r>
      <w:r>
        <w:rPr>
          <w:rFonts w:hint="eastAsia"/>
          <w:kern w:val="0"/>
        </w:rPr>
        <w:t>20,364</w:t>
      </w:r>
      <w:r>
        <w:rPr>
          <w:rFonts w:hint="eastAsia"/>
          <w:kern w:val="0"/>
        </w:rPr>
        <w:t>人</w:t>
      </w:r>
      <w:r>
        <w:rPr>
          <w:rFonts w:hint="default"/>
          <w:kern w:val="0"/>
        </w:rPr>
        <w:t>（</w:t>
      </w:r>
      <w:r>
        <w:rPr>
          <w:rFonts w:hint="eastAsia"/>
          <w:kern w:val="0"/>
        </w:rPr>
        <w:t>59.3</w:t>
      </w:r>
      <w:r>
        <w:rPr>
          <w:rFonts w:hint="eastAsia"/>
          <w:kern w:val="0"/>
        </w:rPr>
        <w:t>％</w:t>
      </w:r>
      <w:r>
        <w:rPr>
          <w:rFonts w:hint="default"/>
          <w:kern w:val="0"/>
        </w:rPr>
        <w:t>）</w:t>
      </w:r>
      <w:r>
        <w:rPr>
          <w:rFonts w:hint="eastAsia"/>
          <w:kern w:val="0"/>
        </w:rPr>
        <w:t>増加しており、入院医療中心から地域におけるケア中心へ進みつつあります。</w:t>
      </w: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0" w:leftChars="100" w:hanging="360" w:hangingChars="150"/>
        <w:jc w:val="left"/>
        <w:rPr>
          <w:rFonts w:hint="default"/>
          <w:kern w:val="0"/>
        </w:rPr>
      </w:pPr>
      <w:r>
        <w:rPr>
          <w:rFonts w:hint="eastAsia"/>
          <w:kern w:val="0"/>
        </w:rPr>
        <w:t>・</w:t>
      </w:r>
      <w:r>
        <w:rPr>
          <w:rFonts w:hint="eastAsia"/>
          <w:kern w:val="0"/>
        </w:rPr>
        <w:t xml:space="preserve"> </w:t>
      </w:r>
      <w:r>
        <w:rPr>
          <w:rFonts w:hint="eastAsia"/>
          <w:color w:val="auto"/>
          <w:kern w:val="0"/>
        </w:rPr>
        <w:t>入院では、平均在院日数は</w:t>
      </w:r>
      <w:r>
        <w:rPr>
          <w:rFonts w:hint="eastAsia"/>
          <w:strike w:val="0"/>
          <w:dstrike w:val="0"/>
          <w:color w:val="auto"/>
          <w:kern w:val="0"/>
        </w:rPr>
        <w:t>2011</w:t>
      </w:r>
      <w:r>
        <w:rPr>
          <w:rFonts w:hint="eastAsia"/>
          <w:strike w:val="0"/>
          <w:dstrike w:val="0"/>
          <w:color w:val="auto"/>
          <w:kern w:val="0"/>
        </w:rPr>
        <w:t>年度の</w:t>
      </w:r>
      <w:r>
        <w:rPr>
          <w:rFonts w:hint="eastAsia"/>
          <w:strike w:val="0"/>
          <w:dstrike w:val="0"/>
          <w:color w:val="auto"/>
          <w:kern w:val="0"/>
        </w:rPr>
        <w:t>270.0</w:t>
      </w:r>
      <w:r>
        <w:rPr>
          <w:rFonts w:hint="eastAsia"/>
          <w:strike w:val="0"/>
          <w:dstrike w:val="0"/>
          <w:color w:val="auto"/>
          <w:kern w:val="0"/>
        </w:rPr>
        <w:t>日から</w:t>
      </w:r>
      <w:r>
        <w:rPr>
          <w:rFonts w:hint="eastAsia"/>
          <w:color w:val="auto"/>
          <w:kern w:val="0"/>
        </w:rPr>
        <w:t>2020</w:t>
      </w:r>
      <w:r>
        <w:rPr>
          <w:rFonts w:hint="eastAsia"/>
          <w:color w:val="auto"/>
          <w:kern w:val="0"/>
        </w:rPr>
        <w:t>年度には</w:t>
      </w:r>
      <w:r>
        <w:rPr>
          <w:rFonts w:hint="eastAsia"/>
          <w:color w:val="auto"/>
          <w:kern w:val="0"/>
        </w:rPr>
        <w:t>216.4</w:t>
      </w:r>
      <w:r>
        <w:rPr>
          <w:rFonts w:hint="eastAsia"/>
          <w:color w:val="auto"/>
          <w:kern w:val="0"/>
        </w:rPr>
        <w:t>日／人と短くなっておりますが、</w:t>
      </w:r>
      <w:r>
        <w:rPr>
          <w:rFonts w:hint="eastAsia"/>
          <w:strike w:val="0"/>
          <w:dstrike w:val="0"/>
          <w:color w:val="auto"/>
          <w:kern w:val="0"/>
        </w:rPr>
        <w:t>１年以上の</w:t>
      </w:r>
      <w:r>
        <w:rPr>
          <w:rFonts w:hint="eastAsia"/>
          <w:color w:val="auto"/>
          <w:kern w:val="0"/>
        </w:rPr>
        <w:t>長期入院者が</w:t>
      </w:r>
      <w:r>
        <w:rPr>
          <w:rFonts w:hint="eastAsia"/>
          <w:strike w:val="0"/>
          <w:dstrike w:val="0"/>
          <w:color w:val="auto"/>
          <w:kern w:val="0"/>
        </w:rPr>
        <w:t>全体の</w:t>
      </w:r>
      <w:r>
        <w:rPr>
          <w:rFonts w:hint="eastAsia"/>
          <w:strike w:val="0"/>
          <w:dstrike w:val="0"/>
          <w:color w:val="auto"/>
          <w:kern w:val="0"/>
        </w:rPr>
        <w:t>60.8</w:t>
      </w:r>
      <w:r>
        <w:rPr>
          <w:rFonts w:hint="eastAsia"/>
          <w:strike w:val="0"/>
          <w:dstrike w:val="0"/>
          <w:color w:val="auto"/>
          <w:kern w:val="0"/>
        </w:rPr>
        <w:t>％を占めています</w:t>
      </w:r>
      <w:r>
        <w:rPr>
          <w:rFonts w:hint="eastAsia"/>
          <w:color w:val="auto"/>
          <w:kern w:val="0"/>
        </w:rPr>
        <w:t>。</w:t>
      </w:r>
    </w:p>
    <w:p>
      <w:pPr>
        <w:pStyle w:val="0"/>
        <w:autoSpaceDE w:val="0"/>
        <w:autoSpaceDN w:val="0"/>
        <w:adjustRightInd w:val="0"/>
        <w:spacing w:line="360" w:lineRule="exact"/>
        <w:ind w:left="600" w:leftChars="100" w:hanging="360" w:hangingChars="150"/>
        <w:jc w:val="left"/>
        <w:rPr>
          <w:rFonts w:hint="default"/>
          <w:kern w:val="0"/>
        </w:rPr>
      </w:pPr>
    </w:p>
    <w:p>
      <w:pPr>
        <w:pStyle w:val="0"/>
        <w:autoSpaceDE w:val="0"/>
        <w:autoSpaceDN w:val="0"/>
        <w:adjustRightInd w:val="0"/>
        <w:spacing w:line="360" w:lineRule="exact"/>
        <w:ind w:left="600" w:leftChars="100" w:hanging="360" w:hangingChars="150"/>
        <w:jc w:val="left"/>
        <w:rPr>
          <w:rFonts w:hint="default"/>
        </w:rPr>
      </w:pPr>
      <w:r>
        <w:rPr>
          <w:rFonts w:hint="eastAsia"/>
        </w:rPr>
        <w:t>・</w:t>
      </w:r>
      <w:r>
        <w:rPr>
          <w:rFonts w:hint="eastAsia"/>
        </w:rPr>
        <w:t xml:space="preserve"> </w:t>
      </w:r>
      <w:r>
        <w:rPr>
          <w:rFonts w:hint="eastAsia"/>
          <w:kern w:val="0"/>
        </w:rPr>
        <w:t>医療環境としては、治療技術の向上や向精神薬の開発等が進み、精神障害に関する医療環境が改善されていることから、早期退院が可能な状況になっています。</w:t>
      </w:r>
    </w:p>
    <w:p>
      <w:pPr>
        <w:pStyle w:val="0"/>
        <w:autoSpaceDE w:val="0"/>
        <w:autoSpaceDN w:val="0"/>
        <w:adjustRightInd w:val="0"/>
        <w:spacing w:line="240" w:lineRule="auto"/>
        <w:jc w:val="left"/>
        <w:rPr>
          <w:rFonts w:hint="default"/>
          <w:kern w:val="0"/>
        </w:rPr>
      </w:pPr>
      <w:bookmarkStart w:id="52" w:name="_Toc500154057"/>
      <w:bookmarkEnd w:id="52"/>
      <w:r>
        <w:rPr>
          <w:rFonts w:hint="eastAsia"/>
        </w:rPr>
        <mc:AlternateContent>
          <mc:Choice Requires="wps">
            <w:drawing>
              <wp:anchor distT="0" distB="0" distL="114300" distR="114300" simplePos="0" relativeHeight="64" behindDoc="0" locked="0" layoutInCell="1" hidden="0" allowOverlap="1">
                <wp:simplePos x="0" y="0"/>
                <wp:positionH relativeFrom="column">
                  <wp:posOffset>3583305</wp:posOffset>
                </wp:positionH>
                <wp:positionV relativeFrom="paragraph">
                  <wp:posOffset>27940</wp:posOffset>
                </wp:positionV>
                <wp:extent cx="571500" cy="228600"/>
                <wp:effectExtent l="0" t="0" r="635" b="635"/>
                <wp:wrapSquare wrapText="bothSides"/>
                <wp:docPr id="1054" name="オブジェクト 0"/>
                <a:graphic xmlns:a="http://schemas.openxmlformats.org/drawingml/2006/main">
                  <a:graphicData uri="http://schemas.microsoft.com/office/word/2010/wordprocessingShape">
                    <wps:wsp>
                      <wps:cNvPr id="1054" name="オブジェクト 0"/>
                      <wps:cNvSpPr txBox="1">
                        <a:spLocks noChangeArrowheads="1"/>
                      </wps:cNvSpPr>
                      <wps:spPr>
                        <a:xfrm>
                          <a:off x="0" y="0"/>
                          <a:ext cx="571500" cy="228600"/>
                        </a:xfrm>
                        <a:prstGeom prst="rect">
                          <a:avLst/>
                        </a:prstGeom>
                        <a:noFill/>
                        <a:ln>
                          <a:miter/>
                        </a:ln>
                      </wps:spPr>
                      <wps:txbx>
                        <w:txbxContent>
                          <w:p>
                            <w:pPr>
                              <w:pStyle w:val="0"/>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2.2000000000000002pt;mso-position-vertical-relative:text;mso-position-horizontal-relative:text;position:absolute;mso-wrap-mode:square;height:18pt;mso-wrap-distance-top:0pt;width:45pt;mso-wrap-distance-left:9pt;margin-left:282.14pt;z-index:64;" o:spid="_x0000_s1054" o:allowincell="t" o:allowoverlap="t" filled="f" stroked="f" o:spt="202" type="#_x0000_t202">
                <v:fill/>
                <v:textbox style="layout-flow:horizontal;" inset="2.0637499999999998mm,0.24694444444444438mm,2.0637499999999998mm,0.24694444444444438mm">
                  <w:txbxContent>
                    <w:p>
                      <w:pPr>
                        <w:pStyle w:val="0"/>
                        <w:rPr>
                          <w:rFonts w:hint="default" w:ascii="ＭＳ ゴシック" w:hAnsi="ＭＳ ゴシック" w:eastAsia="ＭＳ ゴシック"/>
                          <w:sz w:val="12"/>
                        </w:rPr>
                      </w:pPr>
                      <w:r>
                        <w:rPr>
                          <w:rFonts w:hint="eastAsia" w:ascii="ＭＳ ゴシック" w:hAnsi="ＭＳ ゴシック" w:eastAsia="ＭＳ ゴシック"/>
                          <w:sz w:val="12"/>
                        </w:rPr>
                        <w:t>（単位：人）</w:t>
                      </w:r>
                    </w:p>
                  </w:txbxContent>
                </v:textbox>
                <v:imagedata o:title=""/>
                <w10:wrap type="square" side="both" anchorx="text" anchory="text"/>
              </v:shape>
            </w:pict>
          </mc:Fallback>
        </mc:AlternateContent>
      </w:r>
      <w:r>
        <w:rPr>
          <w:rFonts w:hint="eastAsia"/>
        </w:rPr>
        <w:drawing>
          <wp:anchor distT="0" distB="0" distL="203200" distR="203200" simplePos="0" relativeHeight="63" behindDoc="0" locked="0" layoutInCell="1" hidden="0" allowOverlap="1">
            <wp:simplePos x="0" y="0"/>
            <wp:positionH relativeFrom="column">
              <wp:posOffset>876300</wp:posOffset>
            </wp:positionH>
            <wp:positionV relativeFrom="paragraph">
              <wp:posOffset>212090</wp:posOffset>
            </wp:positionV>
            <wp:extent cx="3395980" cy="2676525"/>
            <wp:effectExtent l="0" t="0" r="0" b="0"/>
            <wp:wrapSquare wrapText="bothSides"/>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20"/>
                    <a:stretch>
                      <a:fillRect/>
                    </a:stretch>
                  </pic:blipFill>
                  <pic:spPr>
                    <a:xfrm>
                      <a:off x="0" y="0"/>
                      <a:ext cx="3395980" cy="2676525"/>
                    </a:xfrm>
                    <a:prstGeom prst="rect">
                      <a:avLst/>
                    </a:prstGeom>
                    <a:noFill/>
                    <a:ln>
                      <a:miter/>
                    </a:ln>
                  </pic:spPr>
                </pic:pic>
              </a:graphicData>
            </a:graphic>
          </wp:anchor>
        </w:drawing>
      </w:r>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kern w:val="0"/>
        </w:rPr>
      </w:pPr>
    </w:p>
    <w:p>
      <w:pPr>
        <w:pStyle w:val="0"/>
        <w:autoSpaceDE w:val="0"/>
        <w:autoSpaceDN w:val="0"/>
        <w:adjustRightInd w:val="0"/>
        <w:spacing w:line="360" w:lineRule="exact"/>
        <w:jc w:val="left"/>
        <w:rPr>
          <w:rFonts w:hint="default"/>
        </w:rPr>
      </w:pPr>
      <w:r>
        <w:rPr>
          <w:rFonts w:hint="eastAsia" w:ascii="ＭＳ ゴシック" w:hAnsi="ＭＳ ゴシック" w:eastAsia="ＭＳ ゴシック"/>
        </w:rPr>
        <w:t>（４）重症心身障害児（者）</w:t>
      </w:r>
      <w:r>
        <w:rPr>
          <w:rFonts w:hint="eastAsia"/>
          <w:color w:val="000000" w:themeColor="text1"/>
          <w:spacing w:val="-4"/>
          <w:kern w:val="0"/>
          <w:vertAlign w:val="superscript"/>
        </w:rPr>
        <w:t>＊</w:t>
      </w:r>
      <w:r>
        <w:rPr>
          <w:rFonts w:hint="eastAsia" w:ascii="ＭＳ ゴシック" w:hAnsi="ＭＳ ゴシック" w:eastAsia="ＭＳ ゴシック"/>
        </w:rPr>
        <w:t>及び医療的ケア児（者）</w:t>
      </w:r>
    </w:p>
    <w:p>
      <w:pPr>
        <w:pStyle w:val="0"/>
        <w:autoSpaceDE w:val="0"/>
        <w:autoSpaceDN w:val="0"/>
        <w:adjustRightInd w:val="0"/>
        <w:spacing w:line="360" w:lineRule="exact"/>
        <w:ind w:left="600" w:leftChars="100" w:hanging="360" w:hangingChars="150"/>
        <w:jc w:val="left"/>
        <w:rPr>
          <w:rFonts w:hint="default"/>
        </w:rPr>
      </w:pPr>
      <w:r>
        <w:rPr>
          <w:rFonts w:hint="eastAsia"/>
        </w:rPr>
        <w:t>・</w:t>
      </w:r>
      <w:r>
        <w:rPr>
          <w:rFonts w:hint="eastAsia"/>
        </w:rPr>
        <w:t xml:space="preserve"> 2021</w:t>
      </w:r>
      <w:r>
        <w:rPr>
          <w:rFonts w:hint="eastAsia"/>
        </w:rPr>
        <w:t>年９月に施行された「医療的ケア児及びその家族に対する支援に関する法律」により、</w:t>
      </w:r>
      <w:r>
        <w:rPr>
          <w:rFonts w:hint="eastAsia"/>
          <w:color w:val="auto"/>
          <w:highlight w:val="none"/>
        </w:rPr>
        <w:t>保育や教育を行う体制の拡充とともに、医療的ケア児等支援センター</w:t>
      </w:r>
      <w:r>
        <w:rPr>
          <w:rFonts w:hint="eastAsia"/>
          <w:color w:val="auto"/>
          <w:spacing w:val="-4"/>
          <w:kern w:val="0"/>
          <w:highlight w:val="none"/>
          <w:vertAlign w:val="superscript"/>
        </w:rPr>
        <w:t>＊</w:t>
      </w:r>
      <w:r>
        <w:rPr>
          <w:rFonts w:hint="eastAsia"/>
          <w:color w:val="auto"/>
          <w:highlight w:val="none"/>
        </w:rPr>
        <w:t>における相談支援や情報提供、関係機関と連携した</w:t>
      </w:r>
      <w:r>
        <w:rPr>
          <w:rFonts w:hint="eastAsia"/>
        </w:rPr>
        <w:t>支援体制の整備が求められています。</w:t>
      </w:r>
    </w:p>
    <w:p>
      <w:pPr>
        <w:pStyle w:val="0"/>
        <w:autoSpaceDE w:val="0"/>
        <w:autoSpaceDN w:val="0"/>
        <w:adjustRightInd w:val="0"/>
        <w:spacing w:line="360" w:lineRule="exact"/>
        <w:ind w:left="600" w:leftChars="100" w:hanging="360" w:hangingChars="150"/>
        <w:jc w:val="left"/>
        <w:rPr>
          <w:rFonts w:hint="default"/>
        </w:rPr>
      </w:pPr>
    </w:p>
    <w:p>
      <w:pPr>
        <w:pStyle w:val="0"/>
        <w:autoSpaceDE w:val="0"/>
        <w:autoSpaceDN w:val="0"/>
        <w:adjustRightInd w:val="0"/>
        <w:spacing w:line="360" w:lineRule="exact"/>
        <w:ind w:left="600" w:leftChars="100" w:hanging="360" w:hangingChars="150"/>
        <w:jc w:val="left"/>
        <w:rPr>
          <w:rFonts w:hint="default"/>
        </w:rPr>
      </w:pPr>
      <w:r>
        <w:rPr>
          <w:rFonts w:hint="eastAsia"/>
        </w:rPr>
        <w:t>・</w:t>
      </w:r>
      <w:r>
        <w:rPr>
          <w:rFonts w:hint="eastAsia"/>
        </w:rPr>
        <w:t xml:space="preserve"> 2020</w:t>
      </w:r>
      <w:r>
        <w:rPr>
          <w:rFonts w:hint="eastAsia"/>
        </w:rPr>
        <w:t>年度に実施した「在宅で生活する重度の心身障害のある方及び日常的に医療的ケアが必要な方に関する調査」では、当事者の家族が在宅生活における医療的ケアへの不安、介護等にかかる時間的・体力的負担などを抱えていることがうかがえます。</w:t>
      </w:r>
    </w:p>
    <w:p>
      <w:pPr>
        <w:pStyle w:val="0"/>
        <w:autoSpaceDE w:val="0"/>
        <w:autoSpaceDN w:val="0"/>
        <w:adjustRightInd w:val="0"/>
        <w:spacing w:line="360" w:lineRule="exact"/>
        <w:ind w:left="600" w:leftChars="100" w:hanging="360" w:hangingChars="150"/>
        <w:jc w:val="left"/>
        <w:rPr>
          <w:rFonts w:hint="default"/>
        </w:rPr>
      </w:pPr>
    </w:p>
    <w:p>
      <w:pPr>
        <w:pStyle w:val="0"/>
        <w:autoSpaceDE w:val="0"/>
        <w:autoSpaceDN w:val="0"/>
        <w:adjustRightInd w:val="0"/>
        <w:spacing w:line="360" w:lineRule="exact"/>
        <w:ind w:left="600" w:leftChars="100" w:hanging="360" w:hangingChars="150"/>
        <w:jc w:val="left"/>
        <w:rPr>
          <w:rFonts w:hint="default"/>
        </w:rPr>
      </w:pPr>
      <w:r>
        <w:rPr>
          <w:rFonts w:hint="eastAsia"/>
        </w:rPr>
        <w:t>・</w:t>
      </w:r>
      <w:r>
        <w:rPr>
          <w:rFonts w:hint="eastAsia"/>
        </w:rPr>
        <w:t xml:space="preserve"> </w:t>
      </w:r>
      <w:r>
        <w:rPr>
          <w:rFonts w:hint="eastAsia"/>
        </w:rPr>
        <w:t>重症心身障害児（者）</w:t>
      </w:r>
      <w:r>
        <w:rPr>
          <w:rFonts w:hint="eastAsia"/>
          <w:spacing w:val="-4"/>
          <w:kern w:val="0"/>
          <w:vertAlign w:val="superscript"/>
        </w:rPr>
        <w:t>＊</w:t>
      </w:r>
      <w:r>
        <w:rPr>
          <w:rFonts w:hint="eastAsia"/>
        </w:rPr>
        <w:t>が受診できる身近な診療所の調査を行い、県ホームページで情報提供（</w:t>
      </w:r>
      <w:r>
        <w:rPr>
          <w:rFonts w:hint="eastAsia"/>
        </w:rPr>
        <w:t>2020</w:t>
      </w:r>
      <w:r>
        <w:rPr>
          <w:rFonts w:hint="eastAsia"/>
        </w:rPr>
        <w:t>年度時点</w:t>
      </w:r>
      <w:r>
        <w:rPr>
          <w:rFonts w:hint="eastAsia"/>
        </w:rPr>
        <w:t>93</w:t>
      </w:r>
      <w:r>
        <w:rPr>
          <w:rFonts w:hint="eastAsia"/>
        </w:rPr>
        <w:t>診療所）することで、当事者家族等が医療を受けやすい環境を整えています。</w:t>
      </w:r>
    </w:p>
    <w:p>
      <w:pPr>
        <w:pStyle w:val="0"/>
        <w:autoSpaceDE w:val="0"/>
        <w:autoSpaceDN w:val="0"/>
        <w:adjustRightInd w:val="0"/>
        <w:spacing w:line="360" w:lineRule="exact"/>
        <w:jc w:val="left"/>
        <w:rPr>
          <w:rFonts w:hint="default"/>
        </w:rPr>
      </w:pPr>
      <w:bookmarkStart w:id="53" w:name="_Toc500154059"/>
      <w:bookmarkEnd w:id="53"/>
      <w:bookmarkStart w:id="54" w:name="_Toc500154060"/>
      <w:bookmarkEnd w:id="54"/>
      <w:bookmarkStart w:id="55" w:name="_Toc500154061"/>
      <w:bookmarkEnd w:id="55"/>
      <w:bookmarkStart w:id="56" w:name="_Toc500154062"/>
      <w:bookmarkEnd w:id="56"/>
      <w:bookmarkStart w:id="57" w:name="_Toc500154063"/>
      <w:bookmarkEnd w:id="57"/>
    </w:p>
    <w:p>
      <w:pPr>
        <w:pStyle w:val="0"/>
        <w:autoSpaceDE w:val="0"/>
        <w:autoSpaceDN w:val="0"/>
        <w:adjustRightInd w:val="0"/>
        <w:spacing w:line="360" w:lineRule="exact"/>
        <w:jc w:val="left"/>
        <w:rPr>
          <w:rFonts w:hint="default"/>
        </w:rPr>
      </w:pPr>
    </w:p>
    <w:p>
      <w:pPr>
        <w:pStyle w:val="0"/>
        <w:autoSpaceDE w:val="0"/>
        <w:autoSpaceDN w:val="0"/>
        <w:adjustRightInd w:val="0"/>
        <w:spacing w:line="360" w:lineRule="exact"/>
        <w:jc w:val="left"/>
        <w:rPr>
          <w:rFonts w:hint="default"/>
        </w:rPr>
      </w:pPr>
    </w:p>
    <w:p>
      <w:pPr>
        <w:pStyle w:val="0"/>
        <w:autoSpaceDE w:val="0"/>
        <w:autoSpaceDN w:val="0"/>
        <w:adjustRightInd w:val="0"/>
        <w:spacing w:line="360" w:lineRule="exact"/>
        <w:jc w:val="left"/>
        <w:rPr>
          <w:rFonts w:hint="default"/>
        </w:rPr>
      </w:pPr>
    </w:p>
    <w:p>
      <w:pPr>
        <w:pStyle w:val="0"/>
        <w:autoSpaceDE w:val="0"/>
        <w:autoSpaceDN w:val="0"/>
        <w:adjustRightInd w:val="0"/>
        <w:spacing w:line="360" w:lineRule="exact"/>
        <w:jc w:val="left"/>
        <w:rPr>
          <w:rFonts w:hint="default"/>
        </w:rPr>
      </w:pPr>
      <w:r>
        <w:rPr>
          <w:rFonts w:hint="eastAsia" w:ascii="ＭＳ ゴシック" w:hAnsi="ＭＳ ゴシック" w:eastAsia="ＭＳ ゴシック"/>
        </w:rPr>
        <w:t>（５）発達障害</w:t>
      </w:r>
      <w:r>
        <w:rPr>
          <w:rFonts w:hint="eastAsia"/>
          <w:spacing w:val="-4"/>
          <w:kern w:val="0"/>
          <w:vertAlign w:val="superscript"/>
        </w:rPr>
        <w:t>＊</w:t>
      </w:r>
      <w:r>
        <w:rPr>
          <w:rFonts w:hint="eastAsia" w:ascii="ＭＳ ゴシック" w:hAnsi="ＭＳ ゴシック" w:eastAsia="ＭＳ ゴシック"/>
        </w:rPr>
        <w:t>及び強度行動障害</w:t>
      </w:r>
      <w:r>
        <w:rPr>
          <w:rFonts w:hint="eastAsia" w:ascii="ＭＳ ゴシック" w:hAnsi="ＭＳ ゴシック" w:eastAsia="ＭＳ ゴシック"/>
          <w:spacing w:val="-4"/>
          <w:kern w:val="0"/>
          <w:vertAlign w:val="superscript"/>
        </w:rPr>
        <w:t>＊</w:t>
      </w:r>
    </w:p>
    <w:p>
      <w:pPr>
        <w:pStyle w:val="0"/>
        <w:kinsoku w:val="0"/>
        <w:overflowPunct w:val="0"/>
        <w:autoSpaceDE w:val="0"/>
        <w:autoSpaceDN w:val="0"/>
        <w:spacing w:line="360" w:lineRule="exact"/>
        <w:ind w:left="600" w:leftChars="100" w:hanging="360" w:hangingChars="150"/>
        <w:jc w:val="left"/>
        <w:rPr>
          <w:rFonts w:hint="default"/>
        </w:rPr>
      </w:pPr>
      <w:r>
        <w:rPr>
          <w:rFonts w:hint="eastAsia"/>
        </w:rPr>
        <w:t>・</w:t>
      </w:r>
      <w:r>
        <w:rPr>
          <w:rFonts w:hint="eastAsia"/>
        </w:rPr>
        <w:t xml:space="preserve"> </w:t>
      </w:r>
      <w:r>
        <w:rPr>
          <w:rFonts w:hint="eastAsia"/>
        </w:rPr>
        <w:t>県内の</w:t>
      </w:r>
      <w:r>
        <w:rPr>
          <w:rFonts w:hint="eastAsia"/>
          <w:kern w:val="0"/>
        </w:rPr>
        <w:t>自閉症スペクトラム障害</w:t>
      </w:r>
      <w:r>
        <w:rPr>
          <w:rFonts w:hint="eastAsia"/>
          <w:color w:val="000000" w:themeColor="text1"/>
          <w:spacing w:val="-4"/>
          <w:kern w:val="0"/>
          <w:vertAlign w:val="superscript"/>
        </w:rPr>
        <w:t>＊</w:t>
      </w:r>
      <w:r>
        <w:rPr>
          <w:rFonts w:hint="eastAsia"/>
          <w:kern w:val="0"/>
        </w:rPr>
        <w:t>等の発達障害</w:t>
      </w:r>
      <w:r>
        <w:rPr>
          <w:rFonts w:hint="eastAsia"/>
          <w:spacing w:val="-4"/>
          <w:kern w:val="0"/>
          <w:vertAlign w:val="superscript"/>
        </w:rPr>
        <w:t>＊</w:t>
      </w:r>
      <w:r>
        <w:rPr>
          <w:rFonts w:hint="eastAsia"/>
          <w:kern w:val="0"/>
        </w:rPr>
        <w:t>のある人の正確な人数は把握できていない状況ですが、発達障害に対する社会的認知の高まりに伴い、療育手帳及び精神保健福祉手帳所持者数は</w:t>
      </w:r>
      <w:r>
        <w:rPr>
          <w:rFonts w:hint="eastAsia"/>
          <w:kern w:val="0"/>
        </w:rPr>
        <w:t>2016</w:t>
      </w:r>
      <w:r>
        <w:rPr>
          <w:rFonts w:hint="eastAsia"/>
          <w:kern w:val="0"/>
        </w:rPr>
        <w:t>年度末の</w:t>
      </w:r>
      <w:r>
        <w:rPr>
          <w:rFonts w:hint="eastAsia"/>
          <w:kern w:val="0"/>
        </w:rPr>
        <w:t>2,082</w:t>
      </w:r>
      <w:r>
        <w:rPr>
          <w:rFonts w:hint="eastAsia"/>
          <w:kern w:val="0"/>
        </w:rPr>
        <w:t>人から、</w:t>
      </w:r>
      <w:r>
        <w:rPr>
          <w:rFonts w:hint="eastAsia"/>
          <w:kern w:val="0"/>
        </w:rPr>
        <w:t>2020</w:t>
      </w:r>
      <w:r>
        <w:rPr>
          <w:rFonts w:hint="eastAsia"/>
          <w:kern w:val="0"/>
        </w:rPr>
        <w:t>年度末で</w:t>
      </w:r>
      <w:r>
        <w:rPr>
          <w:rFonts w:hint="eastAsia"/>
          <w:kern w:val="0"/>
        </w:rPr>
        <w:t>4,234</w:t>
      </w:r>
      <w:r>
        <w:rPr>
          <w:rFonts w:hint="eastAsia"/>
          <w:kern w:val="0"/>
        </w:rPr>
        <w:t>人へと、</w:t>
      </w:r>
      <w:r>
        <w:rPr>
          <w:rFonts w:hint="eastAsia"/>
          <w:kern w:val="0"/>
        </w:rPr>
        <w:t>2,152</w:t>
      </w:r>
      <w:r>
        <w:rPr>
          <w:rFonts w:hint="eastAsia"/>
          <w:kern w:val="0"/>
        </w:rPr>
        <w:t>人</w:t>
      </w:r>
      <w:r>
        <w:rPr>
          <w:rFonts w:hint="eastAsia"/>
          <w:color w:val="auto"/>
          <w:kern w:val="0"/>
          <w:u w:val="none" w:color="auto"/>
        </w:rPr>
        <w:t>（</w:t>
      </w:r>
      <w:r>
        <w:rPr>
          <w:rFonts w:hint="eastAsia"/>
          <w:color w:val="auto"/>
          <w:kern w:val="0"/>
          <w:u w:val="none" w:color="auto"/>
        </w:rPr>
        <w:t>203</w:t>
      </w:r>
      <w:r>
        <w:rPr>
          <w:rFonts w:hint="eastAsia"/>
          <w:color w:val="auto"/>
          <w:kern w:val="0"/>
          <w:u w:val="none" w:color="auto"/>
        </w:rPr>
        <w:t>％</w:t>
      </w:r>
      <w:r>
        <w:rPr>
          <w:rFonts w:hint="eastAsia"/>
          <w:kern w:val="0"/>
        </w:rPr>
        <w:t>）と大幅に増加しています。</w:t>
      </w:r>
    </w:p>
    <w:p>
      <w:pPr>
        <w:pStyle w:val="0"/>
        <w:kinsoku w:val="0"/>
        <w:overflowPunct w:val="0"/>
        <w:autoSpaceDE w:val="0"/>
        <w:autoSpaceDN w:val="0"/>
        <w:spacing w:line="360" w:lineRule="exact"/>
        <w:ind w:left="600" w:leftChars="100" w:hanging="360" w:hangingChars="150"/>
        <w:jc w:val="left"/>
        <w:rPr>
          <w:rFonts w:hint="default"/>
        </w:rPr>
      </w:pPr>
    </w:p>
    <w:p>
      <w:pPr>
        <w:pStyle w:val="0"/>
        <w:autoSpaceDE w:val="0"/>
        <w:autoSpaceDN w:val="0"/>
        <w:adjustRightInd w:val="0"/>
        <w:spacing w:line="360" w:lineRule="exact"/>
        <w:ind w:left="600" w:leftChars="100" w:hanging="360" w:hangingChars="150"/>
        <w:jc w:val="left"/>
        <w:rPr>
          <w:rFonts w:hint="default"/>
        </w:rPr>
      </w:pPr>
      <w:r>
        <w:rPr>
          <w:rFonts w:hint="eastAsia"/>
        </w:rPr>
        <w:t>・</w:t>
      </w:r>
      <w:r>
        <w:rPr>
          <w:rFonts w:hint="eastAsia"/>
        </w:rPr>
        <w:t xml:space="preserve"> </w:t>
      </w:r>
      <w:r>
        <w:rPr>
          <w:rFonts w:hint="eastAsia"/>
          <w:kern w:val="0"/>
        </w:rPr>
        <w:t>本県では、東部（沼津市）と中西部（島田市）の２か所に発達障害者支援センター</w:t>
      </w:r>
      <w:r>
        <w:rPr>
          <w:rFonts w:hint="eastAsia"/>
          <w:spacing w:val="-4"/>
          <w:kern w:val="0"/>
          <w:vertAlign w:val="superscript"/>
        </w:rPr>
        <w:t>＊</w:t>
      </w:r>
      <w:r>
        <w:rPr>
          <w:rFonts w:hint="eastAsia"/>
          <w:kern w:val="0"/>
        </w:rPr>
        <w:t>を設置しており、</w:t>
      </w:r>
      <w:r>
        <w:rPr>
          <w:rFonts w:hint="eastAsia"/>
          <w:kern w:val="0"/>
        </w:rPr>
        <w:t>2020</w:t>
      </w:r>
      <w:r>
        <w:rPr>
          <w:rFonts w:hint="eastAsia"/>
          <w:kern w:val="0"/>
        </w:rPr>
        <w:t>年度の相談実績は</w:t>
      </w:r>
      <w:r>
        <w:rPr>
          <w:rFonts w:hint="eastAsia"/>
          <w:kern w:val="0"/>
        </w:rPr>
        <w:t>1,110</w:t>
      </w:r>
      <w:r>
        <w:rPr>
          <w:rFonts w:hint="eastAsia"/>
          <w:kern w:val="0"/>
        </w:rPr>
        <w:t>件となっています。</w:t>
      </w:r>
    </w:p>
    <w:p>
      <w:pPr>
        <w:pStyle w:val="0"/>
        <w:autoSpaceDE w:val="0"/>
        <w:autoSpaceDN w:val="0"/>
        <w:adjustRightInd w:val="0"/>
        <w:spacing w:line="360" w:lineRule="exact"/>
        <w:ind w:left="600" w:leftChars="100" w:hanging="360" w:hangingChars="150"/>
        <w:jc w:val="left"/>
        <w:rPr>
          <w:rFonts w:hint="default"/>
        </w:rPr>
      </w:pPr>
    </w:p>
    <w:p>
      <w:pPr>
        <w:pStyle w:val="0"/>
        <w:autoSpaceDE w:val="0"/>
        <w:autoSpaceDN w:val="0"/>
        <w:adjustRightInd w:val="0"/>
        <w:spacing w:line="360" w:lineRule="exact"/>
        <w:ind w:left="600" w:leftChars="100" w:hanging="360" w:hangingChars="150"/>
        <w:jc w:val="left"/>
        <w:rPr>
          <w:rFonts w:hint="default"/>
        </w:rPr>
      </w:pPr>
      <w:r>
        <w:rPr>
          <w:rFonts w:hint="eastAsia"/>
        </w:rPr>
        <w:t>・</w:t>
      </w:r>
      <w:r>
        <w:rPr>
          <w:rFonts w:hint="eastAsia"/>
        </w:rPr>
        <w:t xml:space="preserve"> 2018</w:t>
      </w:r>
      <w:r>
        <w:rPr>
          <w:rFonts w:hint="eastAsia"/>
        </w:rPr>
        <w:t>年度に医療、福祉、教育、労働などの有識者から構成される「発達障害者支援地域協議会」を設置し、関係機関の連携の緊密化を図るとともに、支援体制の整備について協議を行っています。</w:t>
      </w:r>
    </w:p>
    <w:p>
      <w:pPr>
        <w:pStyle w:val="0"/>
        <w:autoSpaceDE w:val="0"/>
        <w:autoSpaceDN w:val="0"/>
        <w:adjustRightInd w:val="0"/>
        <w:spacing w:line="360" w:lineRule="exact"/>
        <w:ind w:left="600" w:leftChars="100" w:hanging="360" w:hangingChars="150"/>
        <w:jc w:val="left"/>
        <w:rPr>
          <w:rFonts w:hint="default"/>
        </w:rPr>
      </w:pPr>
    </w:p>
    <w:p>
      <w:pPr>
        <w:pStyle w:val="0"/>
        <w:tabs>
          <w:tab w:val="left" w:leader="none" w:pos="511"/>
        </w:tabs>
        <w:autoSpaceDE w:val="0"/>
        <w:autoSpaceDN w:val="0"/>
        <w:adjustRightInd w:val="0"/>
        <w:spacing w:line="360" w:lineRule="exact"/>
        <w:ind w:left="600" w:leftChars="100" w:hanging="360" w:hangingChars="150"/>
        <w:jc w:val="left"/>
        <w:rPr>
          <w:rFonts w:hint="default"/>
        </w:rPr>
      </w:pPr>
      <w:r>
        <w:rPr>
          <w:rFonts w:hint="eastAsia"/>
        </w:rPr>
        <w:t>・</w:t>
      </w:r>
      <w:r>
        <w:rPr>
          <w:rFonts w:hint="eastAsia"/>
        </w:rPr>
        <w:t xml:space="preserve"> </w:t>
      </w:r>
      <w:r>
        <w:rPr>
          <w:rFonts w:hint="eastAsia"/>
        </w:rPr>
        <w:t>強度行動障害のある方の人数は、療育手帳交付者数（</w:t>
      </w:r>
      <w:r>
        <w:rPr>
          <w:rFonts w:hint="eastAsia"/>
        </w:rPr>
        <w:t>36,743</w:t>
      </w:r>
      <w:r>
        <w:rPr>
          <w:rFonts w:hint="eastAsia"/>
        </w:rPr>
        <w:t>人）の１％程度であるとされ、本県では約</w:t>
      </w:r>
      <w:r>
        <w:rPr>
          <w:rFonts w:hint="eastAsia"/>
        </w:rPr>
        <w:t>400</w:t>
      </w:r>
      <w:r>
        <w:rPr>
          <w:rFonts w:hint="eastAsia"/>
        </w:rPr>
        <w:t>人弱と推計されます。</w:t>
      </w:r>
      <w:bookmarkStart w:id="58" w:name="_Toc500154064"/>
      <w:bookmarkEnd w:id="58"/>
    </w:p>
    <w:p>
      <w:pPr>
        <w:pStyle w:val="0"/>
        <w:tabs>
          <w:tab w:val="left" w:leader="none" w:pos="511"/>
        </w:tabs>
        <w:autoSpaceDE w:val="0"/>
        <w:autoSpaceDN w:val="0"/>
        <w:adjustRightInd w:val="0"/>
        <w:spacing w:line="360" w:lineRule="exact"/>
        <w:jc w:val="left"/>
        <w:rPr>
          <w:rFonts w:hint="default"/>
        </w:rPr>
      </w:pPr>
    </w:p>
    <w:p>
      <w:pPr>
        <w:pStyle w:val="0"/>
        <w:tabs>
          <w:tab w:val="left" w:leader="none" w:pos="511"/>
        </w:tabs>
        <w:autoSpaceDE w:val="0"/>
        <w:autoSpaceDN w:val="0"/>
        <w:adjustRightInd w:val="0"/>
        <w:spacing w:line="360" w:lineRule="exact"/>
        <w:jc w:val="left"/>
        <w:rPr>
          <w:rFonts w:hint="default"/>
        </w:rPr>
      </w:pPr>
    </w:p>
    <w:p>
      <w:pPr>
        <w:pStyle w:val="0"/>
        <w:tabs>
          <w:tab w:val="left" w:leader="none" w:pos="511"/>
        </w:tabs>
        <w:autoSpaceDE w:val="0"/>
        <w:autoSpaceDN w:val="0"/>
        <w:adjustRightInd w:val="0"/>
        <w:spacing w:line="360" w:lineRule="exact"/>
        <w:jc w:val="left"/>
        <w:rPr>
          <w:rFonts w:hint="default"/>
        </w:rPr>
      </w:pPr>
      <w:r>
        <w:rPr>
          <w:rFonts w:hint="eastAsia" w:ascii="ＭＳ ゴシック" w:hAnsi="ＭＳ ゴシック" w:eastAsia="ＭＳ ゴシック"/>
        </w:rPr>
        <w:t>（６）難病等</w:t>
      </w:r>
    </w:p>
    <w:p>
      <w:pPr>
        <w:pStyle w:val="0"/>
        <w:autoSpaceDE w:val="0"/>
        <w:autoSpaceDN w:val="0"/>
        <w:adjustRightInd w:val="0"/>
        <w:spacing w:line="360" w:lineRule="exact"/>
        <w:ind w:left="600" w:leftChars="100" w:hanging="360" w:hangingChars="150"/>
        <w:jc w:val="left"/>
        <w:rPr>
          <w:rFonts w:hint="default"/>
        </w:rPr>
      </w:pPr>
      <w:r>
        <w:rPr>
          <w:rFonts w:hint="eastAsia"/>
        </w:rPr>
        <w:t>・</w:t>
      </w:r>
      <w:r>
        <w:rPr>
          <w:rFonts w:hint="eastAsia"/>
        </w:rPr>
        <w:t xml:space="preserve"> 2021</w:t>
      </w:r>
      <w:r>
        <w:rPr>
          <w:rFonts w:hint="eastAsia"/>
        </w:rPr>
        <w:t>年</w:t>
      </w:r>
      <w:r>
        <w:rPr>
          <w:rFonts w:hint="eastAsia"/>
        </w:rPr>
        <w:t>11</w:t>
      </w:r>
      <w:r>
        <w:rPr>
          <w:rFonts w:hint="eastAsia"/>
        </w:rPr>
        <w:t>月より、障害者総合支援法の対象となる疾患が</w:t>
      </w:r>
      <w:r>
        <w:rPr>
          <w:rFonts w:hint="eastAsia"/>
        </w:rPr>
        <w:t>366</w:t>
      </w:r>
      <w:r>
        <w:rPr>
          <w:rFonts w:hint="eastAsia"/>
        </w:rPr>
        <w:t>疾患に拡大されました。</w:t>
      </w:r>
    </w:p>
    <w:p>
      <w:pPr>
        <w:pStyle w:val="0"/>
        <w:autoSpaceDE w:val="0"/>
        <w:autoSpaceDN w:val="0"/>
        <w:adjustRightInd w:val="0"/>
        <w:spacing w:line="360" w:lineRule="exact"/>
        <w:ind w:left="600" w:leftChars="100" w:hanging="360" w:hangingChars="150"/>
        <w:jc w:val="left"/>
        <w:rPr>
          <w:rFonts w:hint="default"/>
        </w:rPr>
      </w:pPr>
    </w:p>
    <w:p>
      <w:pPr>
        <w:pStyle w:val="0"/>
        <w:autoSpaceDE w:val="0"/>
        <w:autoSpaceDN w:val="0"/>
        <w:adjustRightInd w:val="0"/>
        <w:ind w:left="600" w:leftChars="100" w:hanging="360" w:hangingChars="150"/>
        <w:jc w:val="left"/>
        <w:rPr>
          <w:rFonts w:hint="eastAsia"/>
        </w:rPr>
      </w:pPr>
      <w:r>
        <w:rPr>
          <w:rFonts w:hint="eastAsia"/>
        </w:rPr>
        <w:t>・</w:t>
      </w:r>
      <w:r>
        <w:rPr>
          <w:rFonts w:hint="eastAsia"/>
        </w:rPr>
        <w:t xml:space="preserve"> 2014</w:t>
      </w:r>
      <w:r>
        <w:rPr>
          <w:rFonts w:hint="eastAsia"/>
        </w:rPr>
        <w:t>年に「難病の患者に対する医療等に関する法律」（難病法）が成立したこと等により、現在、指定難病</w:t>
      </w:r>
      <w:r>
        <w:rPr>
          <w:rFonts w:hint="eastAsia"/>
        </w:rPr>
        <w:t>338</w:t>
      </w:r>
      <w:r>
        <w:rPr>
          <w:rFonts w:hint="eastAsia"/>
        </w:rPr>
        <w:t>疾患、特定疾患等７疾患（</w:t>
      </w:r>
      <w:r>
        <w:rPr>
          <w:rFonts w:hint="eastAsia"/>
          <w:kern w:val="0"/>
        </w:rPr>
        <w:t>国指定４疾患、県指定２疾患、先天性血液凝固因子障害等</w:t>
      </w:r>
      <w:r>
        <w:rPr>
          <w:rFonts w:hint="default" w:ascii="ＭＳ 明朝" w:hAnsi="ＭＳ 明朝"/>
          <w:kern w:val="0"/>
        </w:rPr>
        <w:t>）</w:t>
      </w:r>
      <w:r>
        <w:rPr>
          <w:rFonts w:hint="eastAsia" w:ascii="ＭＳ 明朝" w:hAnsi="ＭＳ 明朝"/>
          <w:kern w:val="0"/>
        </w:rPr>
        <w:t>が医療費助成の対象となっています。</w:t>
      </w:r>
    </w:p>
    <w:p>
      <w:pPr>
        <w:pStyle w:val="0"/>
        <w:autoSpaceDE w:val="0"/>
        <w:autoSpaceDN w:val="0"/>
        <w:adjustRightInd w:val="0"/>
        <w:ind w:left="600" w:leftChars="100" w:hanging="360" w:hangingChars="150"/>
        <w:jc w:val="left"/>
        <w:rPr>
          <w:rFonts w:hint="eastAsia"/>
        </w:rPr>
      </w:pPr>
    </w:p>
    <w:p>
      <w:pPr>
        <w:pStyle w:val="0"/>
        <w:autoSpaceDE w:val="0"/>
        <w:autoSpaceDN w:val="0"/>
        <w:adjustRightInd w:val="0"/>
        <w:spacing w:line="360" w:lineRule="exact"/>
        <w:ind w:left="600" w:leftChars="100" w:hanging="360" w:hangingChars="150"/>
        <w:jc w:val="left"/>
        <w:rPr>
          <w:rFonts w:hint="default"/>
        </w:rPr>
      </w:pPr>
      <w:r>
        <w:rPr>
          <w:rFonts w:hint="eastAsia"/>
        </w:rPr>
        <w:t>・</w:t>
      </w:r>
      <w:r>
        <w:rPr>
          <w:rFonts w:hint="eastAsia"/>
        </w:rPr>
        <w:t xml:space="preserve"> </w:t>
      </w:r>
      <w:r>
        <w:rPr>
          <w:rFonts w:hint="eastAsia"/>
        </w:rPr>
        <w:t>平成</w:t>
      </w:r>
      <w:r>
        <w:rPr>
          <w:rFonts w:hint="eastAsia"/>
        </w:rPr>
        <w:t>30</w:t>
      </w:r>
      <w:r>
        <w:rPr>
          <w:rFonts w:hint="eastAsia"/>
        </w:rPr>
        <w:t>年度からは指定難病に関する事務が政令市に移管され、政令市と合わせた県内の受給者証交付件数は、</w:t>
      </w:r>
      <w:r>
        <w:rPr>
          <w:rFonts w:hint="eastAsia"/>
          <w:kern w:val="0"/>
        </w:rPr>
        <w:t>2016</w:t>
      </w:r>
      <w:r>
        <w:rPr>
          <w:rFonts w:hint="eastAsia"/>
          <w:kern w:val="0"/>
        </w:rPr>
        <w:t>年度の</w:t>
      </w:r>
      <w:r>
        <w:rPr>
          <w:rFonts w:hint="default"/>
          <w:kern w:val="0"/>
        </w:rPr>
        <w:t>2</w:t>
      </w:r>
      <w:r>
        <w:rPr>
          <w:rFonts w:hint="eastAsia"/>
          <w:kern w:val="0"/>
        </w:rPr>
        <w:t>6</w:t>
      </w:r>
      <w:r>
        <w:rPr>
          <w:rFonts w:hint="default"/>
          <w:kern w:val="0"/>
        </w:rPr>
        <w:t>,</w:t>
      </w:r>
      <w:r>
        <w:rPr>
          <w:rFonts w:hint="eastAsia"/>
          <w:kern w:val="0"/>
        </w:rPr>
        <w:t>996</w:t>
      </w:r>
      <w:r>
        <w:rPr>
          <w:rFonts w:hint="eastAsia"/>
          <w:kern w:val="0"/>
        </w:rPr>
        <w:t>人から</w:t>
      </w:r>
      <w:r>
        <w:rPr>
          <w:rFonts w:hint="eastAsia"/>
          <w:kern w:val="0"/>
        </w:rPr>
        <w:t>2019</w:t>
      </w:r>
      <w:r>
        <w:rPr>
          <w:rFonts w:hint="eastAsia"/>
          <w:kern w:val="0"/>
        </w:rPr>
        <w:t>年度に</w:t>
      </w:r>
      <w:r>
        <w:rPr>
          <w:rFonts w:hint="eastAsia"/>
          <w:kern w:val="0"/>
        </w:rPr>
        <w:t>24,732</w:t>
      </w:r>
      <w:r>
        <w:rPr>
          <w:rFonts w:hint="eastAsia"/>
          <w:kern w:val="0"/>
        </w:rPr>
        <w:t>人減少しています。</w:t>
      </w:r>
    </w:p>
    <w:p>
      <w:pPr>
        <w:pStyle w:val="0"/>
        <w:autoSpaceDE w:val="0"/>
        <w:autoSpaceDN w:val="0"/>
        <w:adjustRightInd w:val="0"/>
        <w:spacing w:line="360" w:lineRule="exact"/>
        <w:ind w:left="600" w:leftChars="100" w:hanging="360" w:hangingChars="150"/>
        <w:jc w:val="left"/>
        <w:rPr>
          <w:rFonts w:hint="default"/>
        </w:rPr>
      </w:pPr>
    </w:p>
    <w:p>
      <w:pPr>
        <w:pStyle w:val="0"/>
        <w:autoSpaceDE w:val="0"/>
        <w:autoSpaceDN w:val="0"/>
        <w:adjustRightInd w:val="0"/>
        <w:spacing w:line="360" w:lineRule="exact"/>
        <w:ind w:left="600" w:leftChars="100" w:hanging="360" w:hangingChars="150"/>
        <w:jc w:val="left"/>
        <w:rPr>
          <w:rFonts w:hint="default"/>
        </w:rPr>
      </w:pPr>
      <w:r>
        <w:rPr>
          <w:rFonts w:hint="eastAsia"/>
        </w:rPr>
        <w:t>・</w:t>
      </w:r>
      <w:r>
        <w:rPr>
          <w:rFonts w:hint="eastAsia"/>
        </w:rPr>
        <w:t xml:space="preserve"> </w:t>
      </w:r>
      <w:r>
        <w:rPr>
          <w:rFonts w:hint="eastAsia"/>
          <w:kern w:val="0"/>
        </w:rPr>
        <w:t>対象疾患の分類が神経系、血液系等多岐にわたり、患者の年齢も乳幼児から高齢者までおり、日常生活の動作についても全介助が必要な人から自立できている人まで多様です。また、患者は、病状により入院している人から在宅で療養を続けている人まで療養形態も単一ではありません。</w:t>
      </w:r>
    </w:p>
    <w:p>
      <w:pPr>
        <w:pStyle w:val="0"/>
        <w:spacing w:line="360" w:lineRule="exact"/>
        <w:rPr>
          <w:rFonts w:hint="default"/>
        </w:rPr>
      </w:pPr>
    </w:p>
    <w:p>
      <w:pPr>
        <w:pStyle w:val="0"/>
        <w:spacing w:line="360" w:lineRule="exact"/>
        <w:rPr>
          <w:rFonts w:hint="default"/>
        </w:rPr>
      </w:pPr>
    </w:p>
    <w:p>
      <w:pPr>
        <w:pStyle w:val="0"/>
        <w:spacing w:line="360" w:lineRule="exact"/>
        <w:rPr>
          <w:rFonts w:hint="default"/>
        </w:rPr>
      </w:pPr>
    </w:p>
    <w:p>
      <w:pPr>
        <w:pStyle w:val="0"/>
        <w:spacing w:line="360" w:lineRule="exact"/>
        <w:rPr>
          <w:rFonts w:hint="default"/>
        </w:rPr>
      </w:pPr>
    </w:p>
    <w:p>
      <w:pPr>
        <w:pStyle w:val="0"/>
        <w:spacing w:line="360" w:lineRule="exact"/>
        <w:rPr>
          <w:rFonts w:hint="default"/>
        </w:rPr>
      </w:pPr>
    </w:p>
    <w:p>
      <w:pPr>
        <w:rPr>
          <w:rFonts w:hint="default"/>
        </w:rPr>
        <w:sectPr>
          <w:headerReference r:id="rId13" w:type="even"/>
          <w:headerReference r:id="rId14" w:type="default"/>
          <w:headerReference r:id="rId12" w:type="first"/>
          <w:pgSz w:w="11906" w:h="16838"/>
          <w:pgMar w:top="1134" w:right="1021" w:bottom="1134" w:left="1134" w:header="284" w:footer="284" w:gutter="0"/>
          <w:cols w:space="720"/>
          <w:textDirection w:val="lrTb"/>
          <w:docGrid w:type="lines" w:linePitch="428"/>
        </w:sectPr>
      </w:pPr>
    </w:p>
    <w:p>
      <w:pPr>
        <w:pStyle w:val="0"/>
        <w:spacing w:line="360" w:lineRule="exact"/>
        <w:rPr>
          <w:rFonts w:hint="default"/>
        </w:rPr>
      </w:pPr>
      <w:r>
        <w:rPr>
          <w:rFonts w:hint="eastAsia"/>
        </w:rPr>
        <mc:AlternateContent>
          <mc:Choice Requires="wps">
            <w:drawing>
              <wp:anchor distT="0" distB="0" distL="114300" distR="114300" simplePos="0" relativeHeight="59" behindDoc="0" locked="0" layoutInCell="1" hidden="0" allowOverlap="1">
                <wp:simplePos x="0" y="0"/>
                <wp:positionH relativeFrom="column">
                  <wp:posOffset>0</wp:posOffset>
                </wp:positionH>
                <wp:positionV relativeFrom="paragraph">
                  <wp:posOffset>52070</wp:posOffset>
                </wp:positionV>
                <wp:extent cx="6120130" cy="335915"/>
                <wp:effectExtent l="635" t="635" r="29845" b="10795"/>
                <wp:wrapNone/>
                <wp:docPr id="1056" name="オブジェクト 0"/>
                <a:graphic xmlns:a="http://schemas.openxmlformats.org/drawingml/2006/main">
                  <a:graphicData uri="http://schemas.microsoft.com/office/word/2010/wordprocessingShape">
                    <wps:wsp>
                      <wps:cNvPr id="1056" name="オブジェクト 0"/>
                      <wps:cNvSpPr>
                        <a:spLocks noChangeArrowheads="1"/>
                      </wps:cNvSpPr>
                      <wps:spPr>
                        <a:xfrm>
                          <a:off x="0" y="0"/>
                          <a:ext cx="6120130" cy="335915"/>
                        </a:xfrm>
                        <a:prstGeom prst="roundRect">
                          <a:avLst>
                            <a:gd name="adj" fmla="val 16695"/>
                          </a:avLst>
                        </a:prstGeom>
                        <a:solidFill>
                          <a:srgbClr val="C0C0C0">
                            <a:alpha val="39999"/>
                          </a:srgbClr>
                        </a:solidFill>
                        <a:ln w="9525">
                          <a:solidFill>
                            <a:srgbClr val="C0C0C0"/>
                          </a:solidFill>
                        </a:ln>
                      </wps:spPr>
                      <wps:txbx>
                        <w:txbxContent>
                          <w:p>
                            <w:pPr>
                              <w:pStyle w:val="0"/>
                              <w:rPr>
                                <w:rFonts w:hint="default" w:ascii="ＭＳ ゴシック" w:hAnsi="ＭＳ ゴシック" w:eastAsia="ＭＳ ゴシック"/>
                                <w:sz w:val="28"/>
                              </w:rPr>
                            </w:pPr>
                            <w:r>
                              <w:rPr>
                                <w:rFonts w:hint="eastAsia" w:ascii="ＭＳ ゴシック" w:hAnsi="ＭＳ ゴシック" w:eastAsia="ＭＳ ゴシック"/>
                                <w:sz w:val="28"/>
                              </w:rPr>
                              <w:t>Ⅲ　計画の基本的方向性</w:t>
                            </w:r>
                          </w:p>
                        </w:txbxContent>
                      </wps:txbx>
                      <wps:bodyPr vertOverflow="overflow" horzOverflow="overflow" lIns="74295" tIns="8890" rIns="74295" bIns="8890" upright="1"/>
                    </wps:wsp>
                  </a:graphicData>
                </a:graphic>
              </wp:anchor>
            </w:drawing>
          </mc:Choice>
          <mc:Fallback>
            <w:pict>
              <v:roundrect id="オブジェクト 0" style="mso-wrap-distance-right:9pt;mso-wrap-distance-bottom:0pt;margin-top:4.09pt;mso-position-vertical-relative:text;mso-position-horizontal-relative:text;position:absolute;height:26.45pt;mso-wrap-distance-top:0pt;width:481.9pt;mso-wrap-distance-left:9pt;margin-left:0pt;z-index:59;" o:spid="_x0000_s1056" o:allowincell="t" o:allowoverlap="t" filled="t" fillcolor="#c0c0c0" stroked="t" strokecolor="#c0c0c0" strokeweight="0.75pt" o:spt="2" arcsize="10941f">
                <v:fill opacity="26213f"/>
                <v:stroke filltype="solid"/>
                <v:textbox style="layout-flow:horizontal;" inset="2.0637499999999998mm,0.24694444444444438mm,2.0637499999999998mm,0.24694444444444438mm">
                  <w:txbxContent>
                    <w:p>
                      <w:pPr>
                        <w:pStyle w:val="0"/>
                        <w:rPr>
                          <w:rFonts w:hint="default" w:ascii="ＭＳ ゴシック" w:hAnsi="ＭＳ ゴシック" w:eastAsia="ＭＳ ゴシック"/>
                          <w:sz w:val="28"/>
                        </w:rPr>
                      </w:pPr>
                      <w:r>
                        <w:rPr>
                          <w:rFonts w:hint="eastAsia" w:ascii="ＭＳ ゴシック" w:hAnsi="ＭＳ ゴシック" w:eastAsia="ＭＳ ゴシック"/>
                          <w:sz w:val="28"/>
                        </w:rPr>
                        <w:t>Ⅲ　計画の基本的方向性</w:t>
                      </w:r>
                    </w:p>
                  </w:txbxContent>
                </v:textbox>
                <v:imagedata o:title=""/>
                <w10:wrap type="none" anchorx="text" anchory="text"/>
              </v:roundrect>
            </w:pict>
          </mc:Fallback>
        </mc:AlternateContent>
      </w:r>
    </w:p>
    <w:p>
      <w:pPr>
        <w:pStyle w:val="0"/>
        <w:adjustRightInd w:val="0"/>
        <w:ind w:left="240" w:hanging="240" w:hangingChars="100"/>
        <w:rPr>
          <w:rFonts w:hint="default" w:ascii="ＭＳ ゴシック" w:hAnsi="ＭＳ ゴシック" w:eastAsia="ＭＳ ゴシック"/>
          <w:spacing w:val="14"/>
        </w:rPr>
      </w:pPr>
    </w:p>
    <w:p>
      <w:pPr>
        <w:pStyle w:val="0"/>
        <w:adjustRightInd w:val="0"/>
        <w:ind w:left="240" w:hanging="240" w:hangingChars="100"/>
        <w:rPr>
          <w:rFonts w:hint="default" w:ascii="ＭＳ ゴシック" w:hAnsi="ＭＳ ゴシック" w:eastAsia="ＭＳ ゴシック"/>
          <w:spacing w:val="14"/>
        </w:rPr>
      </w:pPr>
      <w:r>
        <w:rPr>
          <w:rFonts w:hint="eastAsia" w:ascii="ＭＳ ゴシック" w:hAnsi="ＭＳ ゴシック" w:eastAsia="ＭＳ ゴシック"/>
          <w:spacing w:val="14"/>
          <w:u w:val="single" w:color="auto"/>
        </w:rPr>
        <w:t>１　基本理念と基本目標</w:t>
      </w:r>
    </w:p>
    <w:p>
      <w:pPr>
        <w:pStyle w:val="0"/>
        <w:adjustRightInd w:val="0"/>
        <w:ind w:left="240" w:hanging="240" w:hangingChars="100"/>
        <w:rPr>
          <w:rFonts w:hint="default" w:ascii="ＭＳ ゴシック" w:hAnsi="ＭＳ ゴシック" w:eastAsia="ＭＳ ゴシック"/>
          <w:spacing w:val="14"/>
        </w:rPr>
      </w:pPr>
      <w:r>
        <w:rPr>
          <w:rFonts w:hint="eastAsia" w:ascii="ＭＳ ゴシック" w:hAnsi="ＭＳ ゴシック" w:eastAsia="ＭＳ ゴシック"/>
          <w:spacing w:val="14"/>
        </w:rPr>
        <mc:AlternateContent>
          <mc:Choice Requires="wps">
            <w:drawing>
              <wp:anchor distT="0" distB="0" distL="114300" distR="114300" simplePos="0" relativeHeight="45" behindDoc="0" locked="0" layoutInCell="1" hidden="0" allowOverlap="1">
                <wp:simplePos x="0" y="0"/>
                <wp:positionH relativeFrom="column">
                  <wp:posOffset>266700</wp:posOffset>
                </wp:positionH>
                <wp:positionV relativeFrom="paragraph">
                  <wp:posOffset>128905</wp:posOffset>
                </wp:positionV>
                <wp:extent cx="5867400" cy="5824220"/>
                <wp:effectExtent l="635" t="635" r="29845" b="10795"/>
                <wp:wrapNone/>
                <wp:docPr id="1057" name="オブジェクト 0"/>
                <a:graphic xmlns:a="http://schemas.openxmlformats.org/drawingml/2006/main">
                  <a:graphicData uri="http://schemas.microsoft.com/office/word/2010/wordprocessingShape">
                    <wps:wsp>
                      <wps:cNvPr id="1057" name="オブジェクト 0"/>
                      <wps:cNvSpPr>
                        <a:spLocks noChangeArrowheads="1"/>
                      </wps:cNvSpPr>
                      <wps:spPr>
                        <a:xfrm>
                          <a:off x="0" y="0"/>
                          <a:ext cx="5867400" cy="5824220"/>
                        </a:xfrm>
                        <a:prstGeom prst="rect">
                          <a:avLst/>
                        </a:prstGeom>
                        <a:solidFill>
                          <a:srgbClr val="FFFFFF"/>
                        </a:solidFill>
                        <a:ln w="12700">
                          <a:solidFill>
                            <a:sysClr val="windowText" lastClr="000000"/>
                          </a:solidFill>
                          <a:prstDash val="sysDot"/>
                          <a:miter/>
                        </a:ln>
                      </wps:spPr>
                      <wps:bodyPr/>
                    </wps:wsp>
                  </a:graphicData>
                </a:graphic>
              </wp:anchor>
            </w:drawing>
          </mc:Choice>
          <mc:Fallback>
            <w:pict>
              <v:rect id="オブジェクト 0" style="mso-wrap-distance-right:9pt;mso-wrap-distance-bottom:0pt;margin-top:10.15pt;mso-position-vertical-relative:text;mso-position-horizontal-relative:text;position:absolute;height:458.6pt;mso-wrap-distance-top:0pt;width:462pt;mso-wrap-distance-left:9pt;margin-left:21pt;z-index:45;" o:spid="_x0000_s1057" o:allowincell="t" o:allowoverlap="t" filled="t" fillcolor="#ffffff" stroked="t" strokecolor="#000000" strokeweight="1pt" o:spt="1">
                <v:fill/>
                <v:stroke dashstyle="shortdot" filltype="solid"/>
                <v:textbox style="layout-flow:horizontal;"/>
                <v:imagedata o:title=""/>
                <w10:wrap type="none" anchorx="text" anchory="text"/>
              </v:rect>
            </w:pict>
          </mc:Fallback>
        </mc:AlternateContent>
      </w:r>
    </w:p>
    <w:p>
      <w:pPr>
        <w:pStyle w:val="0"/>
        <w:adjustRightInd w:val="0"/>
        <w:ind w:left="240" w:hanging="240" w:hangingChars="100"/>
        <w:rPr>
          <w:rFonts w:hint="default" w:ascii="ＭＳ ゴシック" w:hAnsi="ＭＳ ゴシック" w:eastAsia="ＭＳ ゴシック"/>
          <w:spacing w:val="14"/>
        </w:rPr>
      </w:pPr>
      <w:r>
        <w:rPr>
          <w:rFonts w:hint="eastAsia" w:ascii="ＭＳ ゴシック" w:hAnsi="ＭＳ ゴシック" w:eastAsia="ＭＳ ゴシック"/>
          <w:spacing w:val="14"/>
        </w:rPr>
        <mc:AlternateContent>
          <mc:Choice Requires="wps">
            <w:drawing>
              <wp:anchor distT="0" distB="0" distL="114300" distR="114300" simplePos="0" relativeHeight="46" behindDoc="0" locked="0" layoutInCell="1" hidden="0" allowOverlap="1">
                <wp:simplePos x="0" y="0"/>
                <wp:positionH relativeFrom="column">
                  <wp:posOffset>396240</wp:posOffset>
                </wp:positionH>
                <wp:positionV relativeFrom="paragraph">
                  <wp:posOffset>128905</wp:posOffset>
                </wp:positionV>
                <wp:extent cx="5575935" cy="2538730"/>
                <wp:effectExtent l="19685" t="19685" r="29845" b="20320"/>
                <wp:wrapNone/>
                <wp:docPr id="1058" name="オブジェクト 0"/>
                <a:graphic xmlns:a="http://schemas.openxmlformats.org/drawingml/2006/main">
                  <a:graphicData uri="http://schemas.microsoft.com/office/word/2010/wordprocessingShape">
                    <wps:wsp>
                      <wps:cNvPr id="1058" name="オブジェクト 0"/>
                      <wps:cNvSpPr>
                        <a:spLocks noChangeArrowheads="1"/>
                      </wps:cNvSpPr>
                      <wps:spPr>
                        <a:xfrm>
                          <a:off x="0" y="0"/>
                          <a:ext cx="5575935" cy="2538730"/>
                        </a:xfrm>
                        <a:prstGeom prst="roundRect">
                          <a:avLst>
                            <a:gd name="adj" fmla="val 5826"/>
                          </a:avLst>
                        </a:prstGeom>
                        <a:solidFill>
                          <a:srgbClr val="FFFFFF"/>
                        </a:solidFill>
                        <a:ln w="31750" cmpd="dbl">
                          <a:solidFill>
                            <a:sysClr val="windowText" lastClr="000000"/>
                          </a:solidFill>
                        </a:ln>
                      </wps:spPr>
                      <wps:txbx>
                        <w:txbxContent>
                          <w:p>
                            <w:pPr>
                              <w:pStyle w:val="0"/>
                              <w:rPr>
                                <w:rFonts w:hint="default"/>
                              </w:rPr>
                            </w:pPr>
                          </w:p>
                        </w:txbxContent>
                      </wps:txbx>
                      <wps:bodyPr vertOverflow="overflow" horzOverflow="overflow" lIns="74295" tIns="8890" rIns="74295" bIns="8890" upright="1"/>
                    </wps:wsp>
                  </a:graphicData>
                </a:graphic>
              </wp:anchor>
            </w:drawing>
          </mc:Choice>
          <mc:Fallback>
            <w:pict>
              <v:roundrect id="オブジェクト 0" style="mso-wrap-distance-right:9pt;mso-wrap-distance-bottom:0pt;margin-top:10.15pt;mso-position-vertical-relative:text;mso-position-horizontal-relative:text;position:absolute;height:199.9pt;mso-wrap-distance-top:0pt;width:439.05pt;mso-wrap-distance-left:9pt;margin-left:31.2pt;z-index:46;" o:spid="_x0000_s1058" o:allowincell="t" o:allowoverlap="t" filled="t" fillcolor="#ffffff" stroked="t" strokecolor="#000000" strokeweight="2.5pt" o:spt="2" arcsize="3817f">
                <v:fill/>
                <v:stroke linestyle="thinThin" filltype="solid"/>
                <v:textbox style="layout-flow:horizontal;" inset="2.0637499999999998mm,0.24694444444444438mm,2.0637499999999998mm,0.24694444444444438mm">
                  <w:txbxContent>
                    <w:p>
                      <w:pPr>
                        <w:pStyle w:val="0"/>
                        <w:rPr>
                          <w:rFonts w:hint="default"/>
                        </w:rPr>
                      </w:pPr>
                    </w:p>
                  </w:txbxContent>
                </v:textbox>
                <v:imagedata o:title=""/>
                <w10:wrap type="none" anchorx="text" anchory="text"/>
              </v:roundrect>
            </w:pict>
          </mc:Fallback>
        </mc:AlternateContent>
      </w:r>
      <w:r>
        <w:rPr>
          <w:rFonts w:hint="eastAsia" w:ascii="ＭＳ ゴシック" w:hAnsi="ＭＳ ゴシック" w:eastAsia="ＭＳ ゴシック"/>
          <w:spacing w:val="14"/>
        </w:rPr>
        <mc:AlternateContent>
          <mc:Choice Requires="wps">
            <w:drawing>
              <wp:anchor distT="0" distB="0" distL="114300" distR="114300" simplePos="0" relativeHeight="53" behindDoc="0" locked="0" layoutInCell="1" hidden="0" allowOverlap="1">
                <wp:simplePos x="0" y="0"/>
                <wp:positionH relativeFrom="column">
                  <wp:posOffset>2350770</wp:posOffset>
                </wp:positionH>
                <wp:positionV relativeFrom="paragraph">
                  <wp:posOffset>7620</wp:posOffset>
                </wp:positionV>
                <wp:extent cx="1666875" cy="250825"/>
                <wp:effectExtent l="0" t="0" r="635" b="635"/>
                <wp:wrapNone/>
                <wp:docPr id="1059" name="オブジェクト 0"/>
                <a:graphic xmlns:a="http://schemas.openxmlformats.org/drawingml/2006/main">
                  <a:graphicData uri="http://schemas.microsoft.com/office/word/2010/wordprocessingShape">
                    <wps:wsp>
                      <wps:cNvPr id="1059" name="オブジェクト 0"/>
                      <wps:cNvSpPr>
                        <a:spLocks noChangeArrowheads="1"/>
                      </wps:cNvSpPr>
                      <wps:spPr>
                        <a:xfrm>
                          <a:off x="0" y="0"/>
                          <a:ext cx="1666875" cy="250825"/>
                        </a:xfrm>
                        <a:prstGeom prst="rect">
                          <a:avLst/>
                        </a:prstGeom>
                        <a:solidFill>
                          <a:srgbClr val="C0C0C0"/>
                        </a:solidFill>
                        <a:ln>
                          <a:miter/>
                        </a:ln>
                      </wps:spPr>
                      <wps:txbx>
                        <w:txbxContent>
                          <w:p>
                            <w:pPr>
                              <w:pStyle w:val="0"/>
                              <w:snapToGrid w:val="0"/>
                              <w:jc w:val="center"/>
                              <w:rPr>
                                <w:rFonts w:hint="default" w:ascii="ＭＳ ゴシック" w:hAnsi="ＭＳ ゴシック" w:eastAsia="ＭＳ ゴシック"/>
                                <w:sz w:val="28"/>
                              </w:rPr>
                            </w:pPr>
                            <w:r>
                              <w:rPr>
                                <w:rFonts w:hint="eastAsia" w:ascii="ＭＳ ゴシック" w:hAnsi="ＭＳ ゴシック" w:eastAsia="ＭＳ ゴシック"/>
                                <w:sz w:val="28"/>
                              </w:rPr>
                              <w:t>基</w:t>
                            </w:r>
                            <w:r>
                              <w:rPr>
                                <w:rFonts w:hint="eastAsia" w:ascii="ＭＳ ゴシック" w:hAnsi="ＭＳ ゴシック" w:eastAsia="ＭＳ ゴシック"/>
                                <w:sz w:val="28"/>
                              </w:rPr>
                              <w:t xml:space="preserve"> </w:t>
                            </w:r>
                            <w:r>
                              <w:rPr>
                                <w:rFonts w:hint="eastAsia" w:ascii="ＭＳ ゴシック" w:hAnsi="ＭＳ ゴシック" w:eastAsia="ＭＳ ゴシック"/>
                                <w:sz w:val="28"/>
                              </w:rPr>
                              <w:t>本</w:t>
                            </w:r>
                            <w:r>
                              <w:rPr>
                                <w:rFonts w:hint="eastAsia" w:ascii="ＭＳ ゴシック" w:hAnsi="ＭＳ ゴシック" w:eastAsia="ＭＳ ゴシック"/>
                                <w:sz w:val="28"/>
                              </w:rPr>
                              <w:t xml:space="preserve"> </w:t>
                            </w:r>
                            <w:r>
                              <w:rPr>
                                <w:rFonts w:hint="eastAsia" w:ascii="ＭＳ ゴシック" w:hAnsi="ＭＳ ゴシック" w:eastAsia="ＭＳ ゴシック"/>
                                <w:sz w:val="28"/>
                              </w:rPr>
                              <w:t>理</w:t>
                            </w:r>
                            <w:r>
                              <w:rPr>
                                <w:rFonts w:hint="eastAsia" w:ascii="ＭＳ ゴシック" w:hAnsi="ＭＳ ゴシック" w:eastAsia="ＭＳ ゴシック"/>
                                <w:sz w:val="28"/>
                              </w:rPr>
                              <w:t xml:space="preserve"> </w:t>
                            </w:r>
                            <w:r>
                              <w:rPr>
                                <w:rFonts w:hint="eastAsia" w:ascii="ＭＳ ゴシック" w:hAnsi="ＭＳ ゴシック" w:eastAsia="ＭＳ ゴシック"/>
                                <w:sz w:val="28"/>
                              </w:rPr>
                              <w:t>念</w:t>
                            </w:r>
                          </w:p>
                        </w:txbxContent>
                      </wps:txbx>
                      <wps:bodyPr vertOverflow="overflow" horzOverflow="overflow" lIns="74295" tIns="8890" rIns="74295" bIns="8890" upright="1"/>
                    </wps:wsp>
                  </a:graphicData>
                </a:graphic>
              </wp:anchor>
            </w:drawing>
          </mc:Choice>
          <mc:Fallback>
            <w:pict>
              <v:rect id="オブジェクト 0" style="mso-wrap-distance-right:9pt;mso-wrap-distance-bottom:0pt;margin-top:0.6pt;mso-position-vertical-relative:text;mso-position-horizontal-relative:text;position:absolute;height:19.75pt;mso-wrap-distance-top:0pt;width:131.25pt;mso-wrap-distance-left:9pt;margin-left:185.1pt;z-index:53;" o:spid="_x0000_s1059" o:allowincell="t" o:allowoverlap="t" filled="t" fillcolor="#c0c0c0" stroked="f" o:spt="1">
                <v:fill/>
                <v:textbox style="layout-flow:horizontal;" inset="2.0637499999999998mm,0.24694444444444438mm,2.0637499999999998mm,0.24694444444444438mm">
                  <w:txbxContent>
                    <w:p>
                      <w:pPr>
                        <w:pStyle w:val="0"/>
                        <w:snapToGrid w:val="0"/>
                        <w:jc w:val="center"/>
                        <w:rPr>
                          <w:rFonts w:hint="default" w:ascii="ＭＳ ゴシック" w:hAnsi="ＭＳ ゴシック" w:eastAsia="ＭＳ ゴシック"/>
                          <w:sz w:val="28"/>
                        </w:rPr>
                      </w:pPr>
                      <w:r>
                        <w:rPr>
                          <w:rFonts w:hint="eastAsia" w:ascii="ＭＳ ゴシック" w:hAnsi="ＭＳ ゴシック" w:eastAsia="ＭＳ ゴシック"/>
                          <w:sz w:val="28"/>
                        </w:rPr>
                        <w:t>基</w:t>
                      </w:r>
                      <w:r>
                        <w:rPr>
                          <w:rFonts w:hint="eastAsia" w:ascii="ＭＳ ゴシック" w:hAnsi="ＭＳ ゴシック" w:eastAsia="ＭＳ ゴシック"/>
                          <w:sz w:val="28"/>
                        </w:rPr>
                        <w:t xml:space="preserve"> </w:t>
                      </w:r>
                      <w:r>
                        <w:rPr>
                          <w:rFonts w:hint="eastAsia" w:ascii="ＭＳ ゴシック" w:hAnsi="ＭＳ ゴシック" w:eastAsia="ＭＳ ゴシック"/>
                          <w:sz w:val="28"/>
                        </w:rPr>
                        <w:t>本</w:t>
                      </w:r>
                      <w:r>
                        <w:rPr>
                          <w:rFonts w:hint="eastAsia" w:ascii="ＭＳ ゴシック" w:hAnsi="ＭＳ ゴシック" w:eastAsia="ＭＳ ゴシック"/>
                          <w:sz w:val="28"/>
                        </w:rPr>
                        <w:t xml:space="preserve"> </w:t>
                      </w:r>
                      <w:r>
                        <w:rPr>
                          <w:rFonts w:hint="eastAsia" w:ascii="ＭＳ ゴシック" w:hAnsi="ＭＳ ゴシック" w:eastAsia="ＭＳ ゴシック"/>
                          <w:sz w:val="28"/>
                        </w:rPr>
                        <w:t>理</w:t>
                      </w:r>
                      <w:r>
                        <w:rPr>
                          <w:rFonts w:hint="eastAsia" w:ascii="ＭＳ ゴシック" w:hAnsi="ＭＳ ゴシック" w:eastAsia="ＭＳ ゴシック"/>
                          <w:sz w:val="28"/>
                        </w:rPr>
                        <w:t xml:space="preserve"> </w:t>
                      </w:r>
                      <w:r>
                        <w:rPr>
                          <w:rFonts w:hint="eastAsia" w:ascii="ＭＳ ゴシック" w:hAnsi="ＭＳ ゴシック" w:eastAsia="ＭＳ ゴシック"/>
                          <w:sz w:val="28"/>
                        </w:rPr>
                        <w:t>念</w:t>
                      </w:r>
                    </w:p>
                  </w:txbxContent>
                </v:textbox>
                <v:imagedata o:title=""/>
                <w10:wrap type="none" anchorx="text" anchory="text"/>
              </v:rect>
            </w:pict>
          </mc:Fallback>
        </mc:AlternateContent>
      </w:r>
    </w:p>
    <w:p>
      <w:pPr>
        <w:pStyle w:val="0"/>
        <w:adjustRightInd w:val="0"/>
        <w:ind w:left="240" w:hanging="240" w:hangingChars="100"/>
        <w:rPr>
          <w:rFonts w:hint="default" w:ascii="ＭＳ ゴシック" w:hAnsi="ＭＳ ゴシック" w:eastAsia="ＭＳ ゴシック"/>
          <w:spacing w:val="14"/>
        </w:rPr>
      </w:pPr>
      <w:r>
        <w:rPr>
          <w:rFonts w:hint="eastAsia" w:ascii="ＭＳ ゴシック" w:hAnsi="ＭＳ ゴシック" w:eastAsia="ＭＳ ゴシック"/>
          <w:spacing w:val="14"/>
        </w:rPr>
        <mc:AlternateContent>
          <mc:Choice Requires="wps">
            <w:drawing>
              <wp:anchor distT="0" distB="0" distL="114300" distR="114300" simplePos="0" relativeHeight="54" behindDoc="0" locked="0" layoutInCell="1" hidden="0" allowOverlap="1">
                <wp:simplePos x="0" y="0"/>
                <wp:positionH relativeFrom="column">
                  <wp:posOffset>2723515</wp:posOffset>
                </wp:positionH>
                <wp:positionV relativeFrom="paragraph">
                  <wp:posOffset>112395</wp:posOffset>
                </wp:positionV>
                <wp:extent cx="3199765" cy="2117725"/>
                <wp:effectExtent l="0" t="0" r="635" b="635"/>
                <wp:wrapNone/>
                <wp:docPr id="1060" name="オブジェクト 0"/>
                <a:graphic xmlns:a="http://schemas.openxmlformats.org/drawingml/2006/main">
                  <a:graphicData uri="http://schemas.microsoft.com/office/word/2010/wordprocessingShape">
                    <wps:wsp>
                      <wps:cNvPr id="1060" name="オブジェクト 0"/>
                      <wps:cNvSpPr>
                        <a:spLocks noChangeArrowheads="1"/>
                      </wps:cNvSpPr>
                      <wps:spPr>
                        <a:xfrm>
                          <a:off x="0" y="0"/>
                          <a:ext cx="3199765" cy="2117725"/>
                        </a:xfrm>
                        <a:prstGeom prst="rect">
                          <a:avLst/>
                        </a:prstGeom>
                        <a:solidFill>
                          <a:srgbClr val="FFFFFF">
                            <a:alpha val="0"/>
                          </a:srgbClr>
                        </a:solidFill>
                        <a:ln>
                          <a:miter/>
                        </a:ln>
                      </wps:spPr>
                      <wps:txbx>
                        <w:txbxContent>
                          <w:p>
                            <w:pPr>
                              <w:pStyle w:val="0"/>
                              <w:snapToGrid w:val="0"/>
                              <w:ind w:left="410" w:leftChars="21" w:hanging="360" w:hangingChars="150"/>
                              <w:rPr>
                                <w:rFonts w:hint="default" w:ascii="ＭＳ ゴシック" w:hAnsi="ＭＳ ゴシック" w:eastAsia="ＭＳ ゴシック"/>
                                <w:color w:val="000000"/>
                              </w:rPr>
                            </w:pPr>
                            <w:r>
                              <w:rPr>
                                <w:rFonts w:hint="eastAsia" w:ascii="ＭＳ ゴシック" w:hAnsi="ＭＳ ゴシック" w:eastAsia="ＭＳ ゴシック"/>
                                <w:color w:val="000000"/>
                              </w:rPr>
                              <w:t>１</w:t>
                            </w:r>
                            <w:r>
                              <w:rPr>
                                <w:rFonts w:hint="eastAsia" w:ascii="ＭＳ ゴシック" w:hAnsi="ＭＳ ゴシック" w:eastAsia="ＭＳ ゴシック"/>
                                <w:color w:val="000000"/>
                              </w:rPr>
                              <w:t xml:space="preserve"> </w:t>
                            </w:r>
                            <w:r>
                              <w:rPr>
                                <w:rFonts w:hint="eastAsia" w:ascii="ＭＳ ゴシック" w:hAnsi="ＭＳ ゴシック" w:eastAsia="ＭＳ ゴシック"/>
                                <w:color w:val="000000"/>
                              </w:rPr>
                              <w:t>障害についての正しい理解を社会に広め、障害の有無によって分け隔てられることなく、相互に人格と個性を尊重し合いながら『共生する社会』の実現</w:t>
                            </w:r>
                          </w:p>
                          <w:p>
                            <w:pPr>
                              <w:pStyle w:val="0"/>
                              <w:snapToGrid w:val="0"/>
                              <w:spacing w:before="77" w:beforeLines="20" w:beforeAutospacing="0"/>
                              <w:ind w:left="410" w:leftChars="21" w:hanging="360" w:hangingChars="150"/>
                              <w:rPr>
                                <w:rFonts w:hint="default" w:ascii="ＭＳ ゴシック" w:hAnsi="ＭＳ ゴシック" w:eastAsia="ＭＳ ゴシック"/>
                                <w:color w:val="000000"/>
                              </w:rPr>
                            </w:pPr>
                            <w:r>
                              <w:rPr>
                                <w:rFonts w:hint="eastAsia" w:ascii="ＭＳ ゴシック" w:hAnsi="ＭＳ ゴシック" w:eastAsia="ＭＳ ゴシック"/>
                                <w:color w:val="000000"/>
                              </w:rPr>
                              <w:t>２</w:t>
                            </w:r>
                            <w:r>
                              <w:rPr>
                                <w:rFonts w:hint="eastAsia" w:ascii="ＭＳ ゴシック" w:hAnsi="ＭＳ ゴシック" w:eastAsia="ＭＳ ゴシック"/>
                                <w:color w:val="000000"/>
                              </w:rPr>
                              <w:t xml:space="preserve"> </w:t>
                            </w:r>
                            <w:r>
                              <w:rPr>
                                <w:rFonts w:hint="eastAsia" w:ascii="ＭＳ ゴシック" w:hAnsi="ＭＳ ゴシック" w:eastAsia="ＭＳ ゴシック"/>
                                <w:color w:val="000000"/>
                              </w:rPr>
                              <w:t>障害のある人が権利の主体として、自分の生活を自分で選び、決定し、自分の力を発揮できる『その人らしい自立生活を送ることができる社会』の実現</w:t>
                            </w:r>
                          </w:p>
                          <w:p>
                            <w:pPr>
                              <w:pStyle w:val="0"/>
                              <w:snapToGrid w:val="0"/>
                              <w:spacing w:before="77" w:beforeLines="20" w:beforeAutospacing="0"/>
                              <w:ind w:left="360" w:hanging="360" w:hangingChars="150"/>
                              <w:rPr>
                                <w:rFonts w:hint="default" w:ascii="ＭＳ ゴシック" w:hAnsi="ＭＳ ゴシック" w:eastAsia="ＭＳ ゴシック"/>
                              </w:rPr>
                            </w:pPr>
                            <w:r>
                              <w:rPr>
                                <w:rFonts w:hint="eastAsia" w:ascii="ＭＳ ゴシック" w:hAnsi="ＭＳ ゴシック" w:eastAsia="ＭＳ ゴシック"/>
                                <w:color w:val="000000"/>
                              </w:rPr>
                              <w:t>３</w:t>
                            </w:r>
                            <w:r>
                              <w:rPr>
                                <w:rFonts w:hint="eastAsia" w:ascii="ＭＳ ゴシック" w:hAnsi="ＭＳ ゴシック" w:eastAsia="ＭＳ ゴシック"/>
                                <w:color w:val="000000"/>
                              </w:rPr>
                              <w:t xml:space="preserve"> </w:t>
                            </w:r>
                            <w:r>
                              <w:rPr>
                                <w:rFonts w:hint="eastAsia" w:ascii="ＭＳ ゴシック" w:hAnsi="ＭＳ ゴシック" w:eastAsia="ＭＳ ゴシック"/>
                                <w:color w:val="000000"/>
                              </w:rPr>
                              <w:t>障害のある人もない人も『安心・安全に暮らすことのできる社会』の実現</w:t>
                            </w:r>
                          </w:p>
                        </w:txbxContent>
                      </wps:txbx>
                      <wps:bodyPr vertOverflow="overflow" horzOverflow="overflow" lIns="74295" tIns="8890" rIns="74295" bIns="8890" upright="1"/>
                    </wps:wsp>
                  </a:graphicData>
                </a:graphic>
              </wp:anchor>
            </w:drawing>
          </mc:Choice>
          <mc:Fallback>
            <w:pict>
              <v:rect id="オブジェクト 0" style="mso-wrap-distance-right:9pt;mso-wrap-distance-bottom:0pt;margin-top:8.85pt;mso-position-vertical-relative:text;mso-position-horizontal-relative:text;position:absolute;height:166.75pt;mso-wrap-distance-top:0pt;width:251.95pt;mso-wrap-distance-left:9pt;margin-left:214.45pt;z-index:54;" o:spid="_x0000_s1060" o:allowincell="t" o:allowoverlap="t" filled="t" fillcolor="#ffffff" stroked="f" o:spt="1">
                <v:fill opacity="0f"/>
                <v:textbox style="layout-flow:horizontal;" inset="2.0637499999999998mm,0.24694444444444438mm,2.0637499999999998mm,0.24694444444444438mm">
                  <w:txbxContent>
                    <w:p>
                      <w:pPr>
                        <w:pStyle w:val="0"/>
                        <w:snapToGrid w:val="0"/>
                        <w:ind w:left="410" w:leftChars="21" w:hanging="360" w:hangingChars="150"/>
                        <w:rPr>
                          <w:rFonts w:hint="default" w:ascii="ＭＳ ゴシック" w:hAnsi="ＭＳ ゴシック" w:eastAsia="ＭＳ ゴシック"/>
                          <w:color w:val="000000"/>
                        </w:rPr>
                      </w:pPr>
                      <w:r>
                        <w:rPr>
                          <w:rFonts w:hint="eastAsia" w:ascii="ＭＳ ゴシック" w:hAnsi="ＭＳ ゴシック" w:eastAsia="ＭＳ ゴシック"/>
                          <w:color w:val="000000"/>
                        </w:rPr>
                        <w:t>１</w:t>
                      </w:r>
                      <w:r>
                        <w:rPr>
                          <w:rFonts w:hint="eastAsia" w:ascii="ＭＳ ゴシック" w:hAnsi="ＭＳ ゴシック" w:eastAsia="ＭＳ ゴシック"/>
                          <w:color w:val="000000"/>
                        </w:rPr>
                        <w:t xml:space="preserve"> </w:t>
                      </w:r>
                      <w:r>
                        <w:rPr>
                          <w:rFonts w:hint="eastAsia" w:ascii="ＭＳ ゴシック" w:hAnsi="ＭＳ ゴシック" w:eastAsia="ＭＳ ゴシック"/>
                          <w:color w:val="000000"/>
                        </w:rPr>
                        <w:t>障害についての正しい理解を社会に広め、障害の有無によって分け隔てられることなく、相互に人格と個性を尊重し合いながら『共生する社会』の実現</w:t>
                      </w:r>
                    </w:p>
                    <w:p>
                      <w:pPr>
                        <w:pStyle w:val="0"/>
                        <w:snapToGrid w:val="0"/>
                        <w:spacing w:before="77" w:beforeLines="20" w:beforeAutospacing="0"/>
                        <w:ind w:left="410" w:leftChars="21" w:hanging="360" w:hangingChars="150"/>
                        <w:rPr>
                          <w:rFonts w:hint="default" w:ascii="ＭＳ ゴシック" w:hAnsi="ＭＳ ゴシック" w:eastAsia="ＭＳ ゴシック"/>
                          <w:color w:val="000000"/>
                        </w:rPr>
                      </w:pPr>
                      <w:r>
                        <w:rPr>
                          <w:rFonts w:hint="eastAsia" w:ascii="ＭＳ ゴシック" w:hAnsi="ＭＳ ゴシック" w:eastAsia="ＭＳ ゴシック"/>
                          <w:color w:val="000000"/>
                        </w:rPr>
                        <w:t>２</w:t>
                      </w:r>
                      <w:r>
                        <w:rPr>
                          <w:rFonts w:hint="eastAsia" w:ascii="ＭＳ ゴシック" w:hAnsi="ＭＳ ゴシック" w:eastAsia="ＭＳ ゴシック"/>
                          <w:color w:val="000000"/>
                        </w:rPr>
                        <w:t xml:space="preserve"> </w:t>
                      </w:r>
                      <w:r>
                        <w:rPr>
                          <w:rFonts w:hint="eastAsia" w:ascii="ＭＳ ゴシック" w:hAnsi="ＭＳ ゴシック" w:eastAsia="ＭＳ ゴシック"/>
                          <w:color w:val="000000"/>
                        </w:rPr>
                        <w:t>障害のある人が権利の主体として、自分の生活を自分で選び、決定し、自分の力を発揮できる『その人らしい自立生活を送ることができる社会』の実現</w:t>
                      </w:r>
                    </w:p>
                    <w:p>
                      <w:pPr>
                        <w:pStyle w:val="0"/>
                        <w:snapToGrid w:val="0"/>
                        <w:spacing w:before="77" w:beforeLines="20" w:beforeAutospacing="0"/>
                        <w:ind w:left="360" w:hanging="360" w:hangingChars="150"/>
                        <w:rPr>
                          <w:rFonts w:hint="default" w:ascii="ＭＳ ゴシック" w:hAnsi="ＭＳ ゴシック" w:eastAsia="ＭＳ ゴシック"/>
                        </w:rPr>
                      </w:pPr>
                      <w:r>
                        <w:rPr>
                          <w:rFonts w:hint="eastAsia" w:ascii="ＭＳ ゴシック" w:hAnsi="ＭＳ ゴシック" w:eastAsia="ＭＳ ゴシック"/>
                          <w:color w:val="000000"/>
                        </w:rPr>
                        <w:t>３</w:t>
                      </w:r>
                      <w:r>
                        <w:rPr>
                          <w:rFonts w:hint="eastAsia" w:ascii="ＭＳ ゴシック" w:hAnsi="ＭＳ ゴシック" w:eastAsia="ＭＳ ゴシック"/>
                          <w:color w:val="000000"/>
                        </w:rPr>
                        <w:t xml:space="preserve"> </w:t>
                      </w:r>
                      <w:r>
                        <w:rPr>
                          <w:rFonts w:hint="eastAsia" w:ascii="ＭＳ ゴシック" w:hAnsi="ＭＳ ゴシック" w:eastAsia="ＭＳ ゴシック"/>
                          <w:color w:val="000000"/>
                        </w:rPr>
                        <w:t>障害のある人もない人も『安心・安全に暮らすことのできる社会』の実現</w:t>
                      </w:r>
                    </w:p>
                  </w:txbxContent>
                </v:textbox>
                <v:imagedata o:title=""/>
                <w10:wrap type="none" anchorx="text" anchory="text"/>
              </v:rect>
            </w:pict>
          </mc:Fallback>
        </mc:AlternateContent>
      </w:r>
      <w:r>
        <w:rPr>
          <w:rFonts w:hint="eastAsia" w:ascii="ＭＳ ゴシック" w:hAnsi="ＭＳ ゴシック" w:eastAsia="ＭＳ ゴシック"/>
          <w:spacing w:val="14"/>
        </w:rPr>
        <mc:AlternateContent>
          <mc:Choice Requires="wps">
            <w:drawing>
              <wp:anchor distT="0" distB="0" distL="114300" distR="114300" simplePos="0" relativeHeight="48" behindDoc="0" locked="0" layoutInCell="1" hidden="0" allowOverlap="1">
                <wp:simplePos x="0" y="0"/>
                <wp:positionH relativeFrom="column">
                  <wp:posOffset>928370</wp:posOffset>
                </wp:positionH>
                <wp:positionV relativeFrom="paragraph">
                  <wp:posOffset>85090</wp:posOffset>
                </wp:positionV>
                <wp:extent cx="1409700" cy="1405255"/>
                <wp:effectExtent l="635" t="635" r="29845" b="10795"/>
                <wp:wrapNone/>
                <wp:docPr id="1061" name="オブジェクト 0"/>
                <a:graphic xmlns:a="http://schemas.openxmlformats.org/drawingml/2006/main">
                  <a:graphicData uri="http://schemas.microsoft.com/office/word/2010/wordprocessingShape">
                    <wps:wsp>
                      <wps:cNvPr id="1061" name="オブジェクト 0"/>
                      <wps:cNvSpPr>
                        <a:spLocks noChangeArrowheads="1"/>
                      </wps:cNvSpPr>
                      <wps:spPr>
                        <a:xfrm>
                          <a:off x="0" y="0"/>
                          <a:ext cx="1409700" cy="1405255"/>
                        </a:xfrm>
                        <a:prstGeom prst="ellipse">
                          <a:avLst/>
                        </a:prstGeom>
                        <a:solidFill>
                          <a:srgbClr val="CCFFFF">
                            <a:alpha val="39999"/>
                          </a:srgbClr>
                        </a:solidFill>
                        <a:ln w="6350">
                          <a:solidFill>
                            <a:sysClr val="windowText" lastClr="000000"/>
                          </a:solidFill>
                        </a:ln>
                      </wps:spPr>
                      <wps:bodyPr/>
                    </wps:wsp>
                  </a:graphicData>
                </a:graphic>
              </wp:anchor>
            </w:drawing>
          </mc:Choice>
          <mc:Fallback>
            <w:pict>
              <v:oval id="オブジェクト 0" style="mso-wrap-distance-right:9pt;mso-wrap-distance-bottom:0pt;margin-top:6.7pt;mso-position-vertical-relative:text;mso-position-horizontal-relative:text;position:absolute;height:110.65pt;mso-wrap-distance-top:0pt;width:111pt;mso-wrap-distance-left:9pt;margin-left:73.09pt;z-index:48;" o:spid="_x0000_s1061" o:allowincell="t" o:allowoverlap="t" filled="t" fillcolor="#ccffff" stroked="t" strokecolor="#000000" strokeweight="0.5pt" o:spt="3">
                <v:fill opacity="26213f"/>
                <v:stroke filltype="solid"/>
                <v:textbox style="layout-flow:horizontal;"/>
                <v:imagedata o:title=""/>
                <w10:wrap type="none" anchorx="text" anchory="text"/>
              </v:oval>
            </w:pict>
          </mc:Fallback>
        </mc:AlternateContent>
      </w:r>
    </w:p>
    <w:p>
      <w:pPr>
        <w:pStyle w:val="0"/>
        <w:adjustRightInd w:val="0"/>
        <w:ind w:left="240" w:hanging="240" w:hangingChars="100"/>
        <w:rPr>
          <w:rFonts w:hint="default" w:ascii="ＭＳ ゴシック" w:hAnsi="ＭＳ ゴシック" w:eastAsia="ＭＳ ゴシック"/>
          <w:spacing w:val="14"/>
        </w:rPr>
      </w:pPr>
      <w:r>
        <w:rPr>
          <w:rFonts w:hint="eastAsia" w:ascii="ＭＳ ゴシック" w:hAnsi="ＭＳ ゴシック" w:eastAsia="ＭＳ ゴシック"/>
          <w:spacing w:val="14"/>
        </w:rPr>
        <mc:AlternateContent>
          <mc:Choice Requires="wps">
            <w:drawing>
              <wp:anchor distT="0" distB="0" distL="114300" distR="114300" simplePos="0" relativeHeight="49" behindDoc="0" locked="0" layoutInCell="1" hidden="0" allowOverlap="1">
                <wp:simplePos x="0" y="0"/>
                <wp:positionH relativeFrom="column">
                  <wp:posOffset>1092200</wp:posOffset>
                </wp:positionH>
                <wp:positionV relativeFrom="paragraph">
                  <wp:posOffset>266700</wp:posOffset>
                </wp:positionV>
                <wp:extent cx="1522095" cy="525145"/>
                <wp:effectExtent l="0" t="0" r="635" b="635"/>
                <wp:wrapNone/>
                <wp:docPr id="1062" name="オブジェクト 0"/>
                <a:graphic xmlns:a="http://schemas.openxmlformats.org/drawingml/2006/main">
                  <a:graphicData uri="http://schemas.microsoft.com/office/word/2010/wordprocessingShape">
                    <wps:wsp>
                      <wps:cNvPr id="1062" name="オブジェクト 0"/>
                      <wps:cNvSpPr>
                        <a:spLocks noChangeArrowheads="1"/>
                      </wps:cNvSpPr>
                      <wps:spPr>
                        <a:xfrm>
                          <a:off x="0" y="0"/>
                          <a:ext cx="1522095" cy="525145"/>
                        </a:xfrm>
                        <a:prstGeom prst="rect">
                          <a:avLst/>
                        </a:prstGeom>
                        <a:solidFill>
                          <a:srgbClr val="FFFFFF">
                            <a:alpha val="0"/>
                          </a:srgbClr>
                        </a:solidFill>
                        <a:ln>
                          <a:miter/>
                        </a:ln>
                      </wps:spPr>
                      <wps:txbx>
                        <w:txbxContent>
                          <w:p>
                            <w:pPr>
                              <w:pStyle w:val="0"/>
                              <w:snapToGrid w:val="0"/>
                              <w:ind w:left="360" w:hanging="360" w:hangingChars="150"/>
                              <w:rPr>
                                <w:rFonts w:hint="default" w:ascii="ＭＳ ゴシック" w:hAnsi="ＭＳ ゴシック" w:eastAsia="ＭＳ ゴシック"/>
                              </w:rPr>
                            </w:pPr>
                            <w:r>
                              <w:rPr>
                                <w:rFonts w:hint="eastAsia" w:ascii="ＭＳ ゴシック" w:hAnsi="ＭＳ ゴシック" w:eastAsia="ＭＳ ゴシック"/>
                              </w:rPr>
                              <w:t>１</w:t>
                            </w:r>
                            <w:r>
                              <w:rPr>
                                <w:rFonts w:hint="eastAsia" w:ascii="ＭＳ ゴシック" w:hAnsi="ＭＳ ゴシック" w:eastAsia="ＭＳ ゴシック"/>
                              </w:rPr>
                              <w:t xml:space="preserve"> </w:t>
                            </w:r>
                            <w:r>
                              <w:rPr>
                                <w:rFonts w:hint="eastAsia" w:ascii="ＭＳ ゴシック" w:hAnsi="ＭＳ ゴシック" w:eastAsia="ＭＳ ゴシック"/>
                              </w:rPr>
                              <w:t>共生社会</w:t>
                            </w:r>
                            <w:r>
                              <w:rPr>
                                <w:rFonts w:hint="default" w:ascii="ＭＳ ゴシック" w:hAnsi="ＭＳ ゴシック" w:eastAsia="ＭＳ ゴシック"/>
                              </w:rPr>
                              <w:br w:type="textWrapping" w:clear="none"/>
                            </w:r>
                            <w:r>
                              <w:rPr>
                                <w:rFonts w:hint="eastAsia" w:ascii="ＭＳ ゴシック" w:hAnsi="ＭＳ ゴシック" w:eastAsia="ＭＳ ゴシック"/>
                              </w:rPr>
                              <w:t>の実現</w:t>
                            </w:r>
                          </w:p>
                        </w:txbxContent>
                      </wps:txbx>
                      <wps:bodyPr vertOverflow="overflow" horzOverflow="overflow" lIns="74295" tIns="8890" rIns="74295" bIns="8890" upright="1"/>
                    </wps:wsp>
                  </a:graphicData>
                </a:graphic>
              </wp:anchor>
            </w:drawing>
          </mc:Choice>
          <mc:Fallback>
            <w:pict>
              <v:rect id="オブジェクト 0" style="mso-wrap-distance-right:9pt;mso-wrap-distance-bottom:0pt;margin-top:21pt;mso-position-vertical-relative:text;mso-position-horizontal-relative:text;position:absolute;height:41.35pt;mso-wrap-distance-top:0pt;width:119.85pt;mso-wrap-distance-left:9pt;margin-left:86pt;z-index:49;" o:spid="_x0000_s1062" o:allowincell="t" o:allowoverlap="t" filled="t" fillcolor="#ffffff" stroked="f" o:spt="1">
                <v:fill opacity="0f"/>
                <v:textbox style="layout-flow:horizontal;" inset="2.0637499999999998mm,0.24694444444444438mm,2.0637499999999998mm,0.24694444444444438mm">
                  <w:txbxContent>
                    <w:p>
                      <w:pPr>
                        <w:pStyle w:val="0"/>
                        <w:snapToGrid w:val="0"/>
                        <w:ind w:left="360" w:hanging="360" w:hangingChars="150"/>
                        <w:rPr>
                          <w:rFonts w:hint="default" w:ascii="ＭＳ ゴシック" w:hAnsi="ＭＳ ゴシック" w:eastAsia="ＭＳ ゴシック"/>
                        </w:rPr>
                      </w:pPr>
                      <w:r>
                        <w:rPr>
                          <w:rFonts w:hint="eastAsia" w:ascii="ＭＳ ゴシック" w:hAnsi="ＭＳ ゴシック" w:eastAsia="ＭＳ ゴシック"/>
                        </w:rPr>
                        <w:t>１</w:t>
                      </w:r>
                      <w:r>
                        <w:rPr>
                          <w:rFonts w:hint="eastAsia" w:ascii="ＭＳ ゴシック" w:hAnsi="ＭＳ ゴシック" w:eastAsia="ＭＳ ゴシック"/>
                        </w:rPr>
                        <w:t xml:space="preserve"> </w:t>
                      </w:r>
                      <w:r>
                        <w:rPr>
                          <w:rFonts w:hint="eastAsia" w:ascii="ＭＳ ゴシック" w:hAnsi="ＭＳ ゴシック" w:eastAsia="ＭＳ ゴシック"/>
                        </w:rPr>
                        <w:t>共生社会</w:t>
                      </w:r>
                      <w:r>
                        <w:rPr>
                          <w:rFonts w:hint="default" w:ascii="ＭＳ ゴシック" w:hAnsi="ＭＳ ゴシック" w:eastAsia="ＭＳ ゴシック"/>
                        </w:rPr>
                        <w:br w:type="textWrapping" w:clear="none"/>
                      </w:r>
                      <w:r>
                        <w:rPr>
                          <w:rFonts w:hint="eastAsia" w:ascii="ＭＳ ゴシック" w:hAnsi="ＭＳ ゴシック" w:eastAsia="ＭＳ ゴシック"/>
                        </w:rPr>
                        <w:t>の実現</w:t>
                      </w:r>
                    </w:p>
                  </w:txbxContent>
                </v:textbox>
                <v:imagedata o:title=""/>
                <w10:wrap type="none" anchorx="text" anchory="text"/>
              </v:rect>
            </w:pict>
          </mc:Fallback>
        </mc:AlternateContent>
      </w:r>
    </w:p>
    <w:p>
      <w:pPr>
        <w:pStyle w:val="0"/>
        <w:adjustRightInd w:val="0"/>
        <w:ind w:left="268" w:hanging="268" w:hangingChars="100"/>
        <w:rPr>
          <w:rFonts w:hint="default" w:ascii="ＭＳ ゴシック" w:hAnsi="ＭＳ ゴシック" w:eastAsia="ＭＳ ゴシック"/>
          <w:spacing w:val="14"/>
        </w:rPr>
      </w:pPr>
    </w:p>
    <w:p>
      <w:pPr>
        <w:pStyle w:val="0"/>
        <w:adjustRightInd w:val="0"/>
        <w:ind w:left="240" w:hanging="240" w:hangingChars="100"/>
        <w:rPr>
          <w:rFonts w:hint="default" w:ascii="ＭＳ ゴシック" w:hAnsi="ＭＳ ゴシック" w:eastAsia="ＭＳ ゴシック"/>
          <w:spacing w:val="14"/>
        </w:rPr>
      </w:pPr>
      <w:r>
        <w:rPr>
          <w:rFonts w:hint="eastAsia" w:ascii="ＭＳ ゴシック" w:hAnsi="ＭＳ ゴシック" w:eastAsia="ＭＳ ゴシック"/>
          <w:spacing w:val="14"/>
        </w:rPr>
        <mc:AlternateContent>
          <mc:Choice Requires="wps">
            <w:drawing>
              <wp:anchor distT="0" distB="0" distL="114300" distR="114300" simplePos="0" relativeHeight="47" behindDoc="0" locked="0" layoutInCell="1" hidden="0" allowOverlap="1">
                <wp:simplePos x="0" y="0"/>
                <wp:positionH relativeFrom="column">
                  <wp:posOffset>460375</wp:posOffset>
                </wp:positionH>
                <wp:positionV relativeFrom="paragraph">
                  <wp:posOffset>65405</wp:posOffset>
                </wp:positionV>
                <wp:extent cx="1409700" cy="1405255"/>
                <wp:effectExtent l="635" t="635" r="29845" b="10795"/>
                <wp:wrapNone/>
                <wp:docPr id="1063" name="オブジェクト 0"/>
                <a:graphic xmlns:a="http://schemas.openxmlformats.org/drawingml/2006/main">
                  <a:graphicData uri="http://schemas.microsoft.com/office/word/2010/wordprocessingShape">
                    <wps:wsp>
                      <wps:cNvPr id="1063" name="オブジェクト 0"/>
                      <wps:cNvSpPr>
                        <a:spLocks noChangeAspect="1" noChangeArrowheads="1"/>
                      </wps:cNvSpPr>
                      <wps:spPr>
                        <a:xfrm>
                          <a:off x="0" y="0"/>
                          <a:ext cx="1409700" cy="1405255"/>
                        </a:xfrm>
                        <a:prstGeom prst="ellipse">
                          <a:avLst/>
                        </a:prstGeom>
                        <a:solidFill>
                          <a:srgbClr val="FF99CC">
                            <a:alpha val="60001"/>
                          </a:srgbClr>
                        </a:solidFill>
                        <a:ln w="6350">
                          <a:solidFill>
                            <a:sysClr val="windowText" lastClr="000000"/>
                          </a:solidFill>
                        </a:ln>
                      </wps:spPr>
                      <wps:bodyPr/>
                    </wps:wsp>
                  </a:graphicData>
                </a:graphic>
              </wp:anchor>
            </w:drawing>
          </mc:Choice>
          <mc:Fallback>
            <w:pict>
              <v:oval id="オブジェクト 0" style="mso-wrap-distance-right:9pt;mso-wrap-distance-bottom:0pt;margin-top:5.15pt;mso-position-vertical-relative:text;mso-position-horizontal-relative:text;position:absolute;height:110.65pt;mso-wrap-distance-top:0pt;width:111pt;mso-wrap-distance-left:9pt;margin-left:36.25pt;z-index:47;" o:spid="_x0000_s1063" o:allowincell="t" o:allowoverlap="t" filled="t" fillcolor="#ff99cc" stroked="t" strokecolor="#000000" strokeweight="0.5pt" o:spt="3">
                <v:fill opacity="39322f"/>
                <v:stroke filltype="solid"/>
                <v:textbox style="layout-flow:horizontal;"/>
                <v:imagedata o:title=""/>
                <o:lock v:ext="edit" aspectratio="t"/>
                <w10:wrap type="none" anchorx="text" anchory="text"/>
              </v:oval>
            </w:pict>
          </mc:Fallback>
        </mc:AlternateContent>
      </w:r>
      <w:r>
        <w:rPr>
          <w:rFonts w:hint="eastAsia" w:ascii="ＭＳ ゴシック" w:hAnsi="ＭＳ ゴシック" w:eastAsia="ＭＳ ゴシック"/>
          <w:spacing w:val="14"/>
        </w:rPr>
        <mc:AlternateContent>
          <mc:Choice Requires="wps">
            <w:drawing>
              <wp:anchor distT="0" distB="0" distL="114300" distR="114300" simplePos="0" relativeHeight="50" behindDoc="0" locked="0" layoutInCell="1" hidden="0" allowOverlap="1">
                <wp:simplePos x="0" y="0"/>
                <wp:positionH relativeFrom="column">
                  <wp:posOffset>1395730</wp:posOffset>
                </wp:positionH>
                <wp:positionV relativeFrom="paragraph">
                  <wp:posOffset>65405</wp:posOffset>
                </wp:positionV>
                <wp:extent cx="1409700" cy="1405255"/>
                <wp:effectExtent l="635" t="635" r="29845" b="10795"/>
                <wp:wrapNone/>
                <wp:docPr id="1064" name="オブジェクト 0"/>
                <a:graphic xmlns:a="http://schemas.openxmlformats.org/drawingml/2006/main">
                  <a:graphicData uri="http://schemas.microsoft.com/office/word/2010/wordprocessingShape">
                    <wps:wsp>
                      <wps:cNvPr id="1064" name="オブジェクト 0"/>
                      <wps:cNvSpPr>
                        <a:spLocks noChangeAspect="1" noChangeArrowheads="1"/>
                      </wps:cNvSpPr>
                      <wps:spPr>
                        <a:xfrm>
                          <a:off x="0" y="0"/>
                          <a:ext cx="1409700" cy="1405255"/>
                        </a:xfrm>
                        <a:prstGeom prst="ellipse">
                          <a:avLst/>
                        </a:prstGeom>
                        <a:solidFill>
                          <a:srgbClr val="FFFF00">
                            <a:alpha val="39999"/>
                          </a:srgbClr>
                        </a:solidFill>
                        <a:ln w="6350">
                          <a:solidFill>
                            <a:sysClr val="windowText" lastClr="000000"/>
                          </a:solidFill>
                        </a:ln>
                      </wps:spPr>
                      <wps:bodyPr/>
                    </wps:wsp>
                  </a:graphicData>
                </a:graphic>
              </wp:anchor>
            </w:drawing>
          </mc:Choice>
          <mc:Fallback>
            <w:pict>
              <v:oval id="オブジェクト 0" style="mso-wrap-distance-right:9pt;mso-wrap-distance-bottom:0pt;margin-top:5.15pt;mso-position-vertical-relative:text;mso-position-horizontal-relative:text;position:absolute;height:110.65pt;mso-wrap-distance-top:0pt;width:111pt;mso-wrap-distance-left:9pt;margin-left:109.9pt;z-index:50;" o:spid="_x0000_s1064" o:allowincell="t" o:allowoverlap="t" filled="t" fillcolor="#ffff00" stroked="t" strokecolor="#000000" strokeweight="0.5pt" o:spt="3">
                <v:fill opacity="26213f"/>
                <v:stroke filltype="solid"/>
                <v:textbox style="layout-flow:horizontal;"/>
                <v:imagedata o:title=""/>
                <o:lock v:ext="edit" aspectratio="t"/>
                <w10:wrap type="none" anchorx="text" anchory="text"/>
              </v:oval>
            </w:pict>
          </mc:Fallback>
        </mc:AlternateContent>
      </w:r>
    </w:p>
    <w:p>
      <w:pPr>
        <w:pStyle w:val="0"/>
        <w:adjustRightInd w:val="0"/>
        <w:ind w:left="268" w:hanging="268" w:hangingChars="100"/>
        <w:rPr>
          <w:rFonts w:hint="default" w:ascii="ＭＳ ゴシック" w:hAnsi="ＭＳ ゴシック" w:eastAsia="ＭＳ ゴシック"/>
          <w:spacing w:val="14"/>
        </w:rPr>
      </w:pPr>
    </w:p>
    <w:p>
      <w:pPr>
        <w:pStyle w:val="0"/>
        <w:adjustRightInd w:val="0"/>
        <w:ind w:left="240" w:hanging="240" w:hangingChars="100"/>
        <w:rPr>
          <w:rFonts w:hint="default" w:ascii="ＭＳ ゴシック" w:hAnsi="ＭＳ ゴシック" w:eastAsia="ＭＳ ゴシック"/>
          <w:spacing w:val="14"/>
        </w:rPr>
      </w:pPr>
      <w:r>
        <w:rPr>
          <w:rFonts w:hint="eastAsia" w:ascii="ＭＳ ゴシック" w:hAnsi="ＭＳ ゴシック" w:eastAsia="ＭＳ ゴシック"/>
        </w:rPr>
        <mc:AlternateContent>
          <mc:Choice Requires="wps">
            <w:drawing>
              <wp:anchor distT="0" distB="0" distL="114300" distR="114300" simplePos="0" relativeHeight="52" behindDoc="0" locked="0" layoutInCell="1" hidden="0" allowOverlap="1">
                <wp:simplePos x="0" y="0"/>
                <wp:positionH relativeFrom="column">
                  <wp:posOffset>1598295</wp:posOffset>
                </wp:positionH>
                <wp:positionV relativeFrom="paragraph">
                  <wp:posOffset>52705</wp:posOffset>
                </wp:positionV>
                <wp:extent cx="1834515" cy="499745"/>
                <wp:effectExtent l="0" t="0" r="635" b="635"/>
                <wp:wrapNone/>
                <wp:docPr id="1065" name="オブジェクト 0"/>
                <a:graphic xmlns:a="http://schemas.openxmlformats.org/drawingml/2006/main">
                  <a:graphicData uri="http://schemas.microsoft.com/office/word/2010/wordprocessingShape">
                    <wps:wsp>
                      <wps:cNvPr id="1065" name="オブジェクト 0"/>
                      <wps:cNvSpPr>
                        <a:spLocks noChangeArrowheads="1"/>
                      </wps:cNvSpPr>
                      <wps:spPr>
                        <a:xfrm>
                          <a:off x="0" y="0"/>
                          <a:ext cx="1834515" cy="499745"/>
                        </a:xfrm>
                        <a:prstGeom prst="rect">
                          <a:avLst/>
                        </a:prstGeom>
                        <a:solidFill>
                          <a:srgbClr val="FFFFFF">
                            <a:alpha val="0"/>
                          </a:srgbClr>
                        </a:solidFill>
                        <a:ln>
                          <a:miter/>
                        </a:ln>
                      </wps:spPr>
                      <wps:txbx>
                        <w:txbxContent>
                          <w:p>
                            <w:pPr>
                              <w:pStyle w:val="0"/>
                              <w:snapToGrid w:val="0"/>
                              <w:ind w:left="360" w:hanging="360" w:hangingChars="150"/>
                              <w:rPr>
                                <w:rFonts w:hint="default" w:ascii="ＭＳ ゴシック" w:hAnsi="ＭＳ ゴシック" w:eastAsia="ＭＳ ゴシック"/>
                              </w:rPr>
                            </w:pPr>
                            <w:r>
                              <w:rPr>
                                <w:rFonts w:hint="eastAsia" w:ascii="ＭＳ ゴシック" w:hAnsi="ＭＳ ゴシック" w:eastAsia="ＭＳ ゴシック"/>
                              </w:rPr>
                              <w:t>３</w:t>
                            </w:r>
                            <w:r>
                              <w:rPr>
                                <w:rFonts w:hint="eastAsia" w:ascii="ＭＳ ゴシック" w:hAnsi="ＭＳ ゴシック" w:eastAsia="ＭＳ ゴシック"/>
                              </w:rPr>
                              <w:t xml:space="preserve"> </w:t>
                            </w:r>
                            <w:r>
                              <w:rPr>
                                <w:rFonts w:hint="eastAsia" w:ascii="ＭＳ ゴシック" w:hAnsi="ＭＳ ゴシック" w:eastAsia="ＭＳ ゴシック"/>
                              </w:rPr>
                              <w:t>安心・安全</w:t>
                            </w:r>
                            <w:r>
                              <w:rPr>
                                <w:rFonts w:hint="default" w:ascii="ＭＳ ゴシック" w:hAnsi="ＭＳ ゴシック" w:eastAsia="ＭＳ ゴシック"/>
                              </w:rPr>
                              <w:br w:type="textWrapping" w:clear="none"/>
                            </w:r>
                            <w:r>
                              <w:rPr>
                                <w:rFonts w:hint="eastAsia" w:ascii="ＭＳ ゴシック" w:hAnsi="ＭＳ ゴシック" w:eastAsia="ＭＳ ゴシック"/>
                              </w:rPr>
                              <w:t>の実現</w:t>
                            </w:r>
                          </w:p>
                        </w:txbxContent>
                      </wps:txbx>
                      <wps:bodyPr vertOverflow="overflow" horzOverflow="overflow" lIns="74295" tIns="8890" rIns="74295" bIns="8890" upright="1"/>
                    </wps:wsp>
                  </a:graphicData>
                </a:graphic>
              </wp:anchor>
            </w:drawing>
          </mc:Choice>
          <mc:Fallback>
            <w:pict>
              <v:rect id="オブジェクト 0" style="mso-wrap-distance-right:9pt;mso-wrap-distance-bottom:0pt;margin-top:4.1500000000000004pt;mso-position-vertical-relative:text;mso-position-horizontal-relative:text;position:absolute;height:39.35pt;mso-wrap-distance-top:0pt;width:144.44pt;mso-wrap-distance-left:9pt;margin-left:125.85pt;z-index:52;" o:spid="_x0000_s1065" o:allowincell="t" o:allowoverlap="t" filled="t" fillcolor="#ffffff" stroked="f" o:spt="1">
                <v:fill opacity="0f"/>
                <v:textbox style="layout-flow:horizontal;" inset="2.0637499999999998mm,0.24694444444444438mm,2.0637499999999998mm,0.24694444444444438mm">
                  <w:txbxContent>
                    <w:p>
                      <w:pPr>
                        <w:pStyle w:val="0"/>
                        <w:snapToGrid w:val="0"/>
                        <w:ind w:left="360" w:hanging="360" w:hangingChars="150"/>
                        <w:rPr>
                          <w:rFonts w:hint="default" w:ascii="ＭＳ ゴシック" w:hAnsi="ＭＳ ゴシック" w:eastAsia="ＭＳ ゴシック"/>
                        </w:rPr>
                      </w:pPr>
                      <w:r>
                        <w:rPr>
                          <w:rFonts w:hint="eastAsia" w:ascii="ＭＳ ゴシック" w:hAnsi="ＭＳ ゴシック" w:eastAsia="ＭＳ ゴシック"/>
                        </w:rPr>
                        <w:t>３</w:t>
                      </w:r>
                      <w:r>
                        <w:rPr>
                          <w:rFonts w:hint="eastAsia" w:ascii="ＭＳ ゴシック" w:hAnsi="ＭＳ ゴシック" w:eastAsia="ＭＳ ゴシック"/>
                        </w:rPr>
                        <w:t xml:space="preserve"> </w:t>
                      </w:r>
                      <w:r>
                        <w:rPr>
                          <w:rFonts w:hint="eastAsia" w:ascii="ＭＳ ゴシック" w:hAnsi="ＭＳ ゴシック" w:eastAsia="ＭＳ ゴシック"/>
                        </w:rPr>
                        <w:t>安心・安全</w:t>
                      </w:r>
                      <w:r>
                        <w:rPr>
                          <w:rFonts w:hint="default" w:ascii="ＭＳ ゴシック" w:hAnsi="ＭＳ ゴシック" w:eastAsia="ＭＳ ゴシック"/>
                        </w:rPr>
                        <w:br w:type="textWrapping" w:clear="none"/>
                      </w:r>
                      <w:r>
                        <w:rPr>
                          <w:rFonts w:hint="eastAsia" w:ascii="ＭＳ ゴシック" w:hAnsi="ＭＳ ゴシック" w:eastAsia="ＭＳ ゴシック"/>
                        </w:rPr>
                        <w:t>の実現</w:t>
                      </w:r>
                    </w:p>
                  </w:txbxContent>
                </v:textbox>
                <v:imagedata o:title=""/>
                <w10:wrap type="none" anchorx="text" anchory="text"/>
              </v:rect>
            </w:pict>
          </mc:Fallback>
        </mc:AlternateContent>
      </w:r>
      <w:r>
        <w:rPr>
          <w:rFonts w:hint="eastAsia" w:ascii="ＭＳ ゴシック" w:hAnsi="ＭＳ ゴシック" w:eastAsia="ＭＳ ゴシック"/>
        </w:rPr>
        <mc:AlternateContent>
          <mc:Choice Requires="wps">
            <w:drawing>
              <wp:anchor distT="0" distB="0" distL="114300" distR="114300" simplePos="0" relativeHeight="51" behindDoc="0" locked="0" layoutInCell="1" hidden="0" allowOverlap="1">
                <wp:simplePos x="0" y="0"/>
                <wp:positionH relativeFrom="column">
                  <wp:posOffset>464820</wp:posOffset>
                </wp:positionH>
                <wp:positionV relativeFrom="paragraph">
                  <wp:posOffset>52705</wp:posOffset>
                </wp:positionV>
                <wp:extent cx="1711325" cy="507365"/>
                <wp:effectExtent l="0" t="0" r="635" b="635"/>
                <wp:wrapNone/>
                <wp:docPr id="1066" name="オブジェクト 0"/>
                <a:graphic xmlns:a="http://schemas.openxmlformats.org/drawingml/2006/main">
                  <a:graphicData uri="http://schemas.microsoft.com/office/word/2010/wordprocessingShape">
                    <wps:wsp>
                      <wps:cNvPr id="1066" name="オブジェクト 0"/>
                      <wps:cNvSpPr>
                        <a:spLocks noChangeArrowheads="1"/>
                      </wps:cNvSpPr>
                      <wps:spPr>
                        <a:xfrm>
                          <a:off x="0" y="0"/>
                          <a:ext cx="1711325" cy="507365"/>
                        </a:xfrm>
                        <a:prstGeom prst="rect">
                          <a:avLst/>
                        </a:prstGeom>
                        <a:solidFill>
                          <a:srgbClr val="FFFFFF">
                            <a:alpha val="0"/>
                          </a:srgbClr>
                        </a:solidFill>
                        <a:ln>
                          <a:miter/>
                        </a:ln>
                      </wps:spPr>
                      <wps:txbx>
                        <w:txbxContent>
                          <w:p>
                            <w:pPr>
                              <w:pStyle w:val="0"/>
                              <w:ind w:left="360" w:hanging="360" w:hangingChars="150"/>
                              <w:rPr>
                                <w:rFonts w:hint="default" w:ascii="ＭＳ ゴシック" w:hAnsi="ＭＳ ゴシック" w:eastAsia="ＭＳ ゴシック"/>
                              </w:rPr>
                            </w:pPr>
                            <w:r>
                              <w:rPr>
                                <w:rFonts w:hint="eastAsia" w:ascii="ＭＳ ゴシック" w:hAnsi="ＭＳ ゴシック" w:eastAsia="ＭＳ ゴシック"/>
                              </w:rPr>
                              <w:t>２</w:t>
                            </w:r>
                            <w:r>
                              <w:rPr>
                                <w:rFonts w:hint="eastAsia" w:ascii="ＭＳ ゴシック" w:hAnsi="ＭＳ ゴシック" w:eastAsia="ＭＳ ゴシック"/>
                              </w:rPr>
                              <w:t xml:space="preserve"> </w:t>
                            </w:r>
                            <w:r>
                              <w:rPr>
                                <w:rFonts w:hint="eastAsia" w:ascii="ＭＳ ゴシック" w:hAnsi="ＭＳ ゴシック" w:eastAsia="ＭＳ ゴシック"/>
                              </w:rPr>
                              <w:t>自立生活</w:t>
                            </w:r>
                            <w:r>
                              <w:rPr>
                                <w:rFonts w:hint="default" w:ascii="ＭＳ ゴシック" w:hAnsi="ＭＳ ゴシック" w:eastAsia="ＭＳ ゴシック"/>
                              </w:rPr>
                              <w:br w:type="textWrapping" w:clear="none"/>
                            </w:r>
                            <w:r>
                              <w:rPr>
                                <w:rFonts w:hint="eastAsia" w:ascii="ＭＳ ゴシック" w:hAnsi="ＭＳ ゴシック" w:eastAsia="ＭＳ ゴシック"/>
                              </w:rPr>
                              <w:t>の実現</w:t>
                            </w:r>
                          </w:p>
                        </w:txbxContent>
                      </wps:txbx>
                      <wps:bodyPr vertOverflow="overflow" horzOverflow="overflow" lIns="74295" tIns="8890" rIns="74295" bIns="8890" upright="1"/>
                    </wps:wsp>
                  </a:graphicData>
                </a:graphic>
              </wp:anchor>
            </w:drawing>
          </mc:Choice>
          <mc:Fallback>
            <w:pict>
              <v:rect id="オブジェクト 0" style="mso-wrap-distance-right:9pt;mso-wrap-distance-bottom:0pt;margin-top:4.1500000000000004pt;mso-position-vertical-relative:text;mso-position-horizontal-relative:text;position:absolute;height:39.950000000000003pt;mso-wrap-distance-top:0pt;width:134.75pt;mso-wrap-distance-left:9pt;margin-left:36.6pt;z-index:51;" o:spid="_x0000_s1066" o:allowincell="t" o:allowoverlap="t" filled="t" fillcolor="#ffffff" stroked="f" o:spt="1">
                <v:fill opacity="0f"/>
                <v:textbox style="layout-flow:horizontal;" inset="2.0637499999999998mm,0.24694444444444438mm,2.0637499999999998mm,0.24694444444444438mm">
                  <w:txbxContent>
                    <w:p>
                      <w:pPr>
                        <w:pStyle w:val="0"/>
                        <w:ind w:left="360" w:hanging="360" w:hangingChars="150"/>
                        <w:rPr>
                          <w:rFonts w:hint="default" w:ascii="ＭＳ ゴシック" w:hAnsi="ＭＳ ゴシック" w:eastAsia="ＭＳ ゴシック"/>
                        </w:rPr>
                      </w:pPr>
                      <w:r>
                        <w:rPr>
                          <w:rFonts w:hint="eastAsia" w:ascii="ＭＳ ゴシック" w:hAnsi="ＭＳ ゴシック" w:eastAsia="ＭＳ ゴシック"/>
                        </w:rPr>
                        <w:t>２</w:t>
                      </w:r>
                      <w:r>
                        <w:rPr>
                          <w:rFonts w:hint="eastAsia" w:ascii="ＭＳ ゴシック" w:hAnsi="ＭＳ ゴシック" w:eastAsia="ＭＳ ゴシック"/>
                        </w:rPr>
                        <w:t xml:space="preserve"> </w:t>
                      </w:r>
                      <w:r>
                        <w:rPr>
                          <w:rFonts w:hint="eastAsia" w:ascii="ＭＳ ゴシック" w:hAnsi="ＭＳ ゴシック" w:eastAsia="ＭＳ ゴシック"/>
                        </w:rPr>
                        <w:t>自立生活</w:t>
                      </w:r>
                      <w:r>
                        <w:rPr>
                          <w:rFonts w:hint="default" w:ascii="ＭＳ ゴシック" w:hAnsi="ＭＳ ゴシック" w:eastAsia="ＭＳ ゴシック"/>
                        </w:rPr>
                        <w:br w:type="textWrapping" w:clear="none"/>
                      </w:r>
                      <w:r>
                        <w:rPr>
                          <w:rFonts w:hint="eastAsia" w:ascii="ＭＳ ゴシック" w:hAnsi="ＭＳ ゴシック" w:eastAsia="ＭＳ ゴシック"/>
                        </w:rPr>
                        <w:t>の実現</w:t>
                      </w:r>
                    </w:p>
                  </w:txbxContent>
                </v:textbox>
                <v:imagedata o:title=""/>
                <w10:wrap type="none" anchorx="text" anchory="text"/>
              </v:rect>
            </w:pict>
          </mc:Fallback>
        </mc:AlternateContent>
      </w:r>
    </w:p>
    <w:p>
      <w:pPr>
        <w:pStyle w:val="0"/>
        <w:adjustRightInd w:val="0"/>
        <w:ind w:left="240" w:hanging="240" w:hangingChars="100"/>
        <w:rPr>
          <w:rFonts w:hint="default" w:ascii="ＭＳ ゴシック" w:hAnsi="ＭＳ ゴシック" w:eastAsia="ＭＳ ゴシック"/>
        </w:rPr>
      </w:pPr>
    </w:p>
    <w:p>
      <w:pPr>
        <w:pStyle w:val="0"/>
        <w:adjustRightInd w:val="0"/>
        <w:ind w:left="240" w:hanging="240" w:hangingChars="100"/>
        <w:rPr>
          <w:rFonts w:hint="default" w:ascii="ＭＳ ゴシック" w:hAnsi="ＭＳ ゴシック" w:eastAsia="ＭＳ ゴシック"/>
        </w:rPr>
      </w:pPr>
    </w:p>
    <w:p>
      <w:pPr>
        <w:pStyle w:val="0"/>
        <w:adjustRightInd w:val="0"/>
        <w:ind w:left="240" w:hanging="240" w:hangingChars="100"/>
        <w:rPr>
          <w:rFonts w:hint="default" w:ascii="ＭＳ ゴシック" w:hAnsi="ＭＳ ゴシック" w:eastAsia="ＭＳ ゴシック"/>
        </w:rPr>
      </w:pPr>
    </w:p>
    <w:p>
      <w:pPr>
        <w:pStyle w:val="0"/>
        <w:adjustRightInd w:val="0"/>
        <w:ind w:left="240" w:hanging="240" w:hangingChars="100"/>
        <w:rPr>
          <w:rFonts w:hint="default" w:ascii="ＭＳ ゴシック" w:hAnsi="ＭＳ ゴシック" w:eastAsia="ＭＳ ゴシック"/>
        </w:rPr>
      </w:pPr>
      <w:r>
        <w:rPr>
          <w:rFonts w:hint="eastAsia" w:ascii="ＭＳ ゴシック" w:hAnsi="ＭＳ ゴシック" w:eastAsia="ＭＳ ゴシック"/>
        </w:rPr>
        <mc:AlternateContent>
          <mc:Choice Requires="wps">
            <w:drawing>
              <wp:anchor distT="0" distB="0" distL="114300" distR="114300" simplePos="0" relativeHeight="57" behindDoc="0" locked="0" layoutInCell="1" hidden="0" allowOverlap="1">
                <wp:simplePos x="0" y="0"/>
                <wp:positionH relativeFrom="column">
                  <wp:posOffset>2133600</wp:posOffset>
                </wp:positionH>
                <wp:positionV relativeFrom="paragraph">
                  <wp:posOffset>60960</wp:posOffset>
                </wp:positionV>
                <wp:extent cx="2066925" cy="426085"/>
                <wp:effectExtent l="2540" t="635" r="31750" b="10795"/>
                <wp:wrapNone/>
                <wp:docPr id="1067" name="オブジェクト 0"/>
                <a:graphic xmlns:a="http://schemas.openxmlformats.org/drawingml/2006/main">
                  <a:graphicData uri="http://schemas.microsoft.com/office/word/2010/wordprocessingShape">
                    <wps:wsp>
                      <wps:cNvPr id="1067" name="オブジェクト 0"/>
                      <wps:cNvSpPr>
                        <a:spLocks noChangeArrowheads="1"/>
                      </wps:cNvSpPr>
                      <wps:spPr>
                        <a:xfrm>
                          <a:off x="0" y="0"/>
                          <a:ext cx="2066925" cy="426085"/>
                        </a:xfrm>
                        <a:prstGeom prst="downArrow">
                          <a:avLst>
                            <a:gd name="adj1" fmla="val 57667"/>
                            <a:gd name="adj2" fmla="val 69375"/>
                          </a:avLst>
                        </a:prstGeom>
                        <a:solidFill>
                          <a:srgbClr val="C0C0C0"/>
                        </a:solidFill>
                        <a:ln w="9525">
                          <a:solidFill>
                            <a:sysClr val="windowText" lastClr="000000"/>
                          </a:solidFill>
                          <a:miter/>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9pt;mso-wrap-distance-bottom:0pt;margin-top:4.8pt;mso-position-vertical-relative:text;mso-position-horizontal-relative:text;position:absolute;height:33.54pt;mso-wrap-distance-top:0pt;width:162.75pt;mso-wrap-distance-left:9pt;margin-left:168pt;z-index:57;" o:spid="_x0000_s1067" o:allowincell="t" o:allowoverlap="t" filled="t" fillcolor="#c0c0c0" stroked="t" strokecolor="#000000" strokeweight="0.75pt" o:spt="67" type="#_x0000_t67" adj="6615,4572">
                <v:fill/>
                <v:stroke filltype="solid"/>
                <v:textbox style="layout-flow:horizontal;"/>
                <v:imagedata o:title=""/>
                <w10:wrap type="none" anchorx="text" anchory="text"/>
              </v:shape>
            </w:pict>
          </mc:Fallback>
        </mc:AlternateContent>
      </w:r>
    </w:p>
    <w:p>
      <w:pPr>
        <w:pStyle w:val="0"/>
        <w:adjustRightInd w:val="0"/>
        <w:ind w:left="240" w:hanging="240" w:hangingChars="100"/>
        <w:rPr>
          <w:rFonts w:hint="default" w:ascii="ＭＳ ゴシック" w:hAnsi="ＭＳ ゴシック" w:eastAsia="ＭＳ ゴシック"/>
        </w:rPr>
      </w:pPr>
    </w:p>
    <w:p>
      <w:pPr>
        <w:pStyle w:val="0"/>
        <w:adjustRightInd w:val="0"/>
        <w:ind w:left="240" w:hanging="240" w:hangingChars="100"/>
        <w:rPr>
          <w:rFonts w:hint="default" w:ascii="ＭＳ ゴシック" w:hAnsi="ＭＳ ゴシック" w:eastAsia="ＭＳ ゴシック"/>
        </w:rPr>
      </w:pPr>
      <w:r>
        <w:rPr>
          <w:rFonts w:hint="eastAsia" w:ascii="ＭＳ ゴシック" w:hAnsi="ＭＳ ゴシック" w:eastAsia="ＭＳ ゴシック"/>
        </w:rPr>
        <mc:AlternateContent>
          <mc:Choice Requires="wps">
            <w:drawing>
              <wp:anchor distT="0" distB="0" distL="114300" distR="114300" simplePos="0" relativeHeight="55" behindDoc="0" locked="0" layoutInCell="1" hidden="0" allowOverlap="1">
                <wp:simplePos x="0" y="0"/>
                <wp:positionH relativeFrom="column">
                  <wp:posOffset>470535</wp:posOffset>
                </wp:positionH>
                <wp:positionV relativeFrom="paragraph">
                  <wp:posOffset>48895</wp:posOffset>
                </wp:positionV>
                <wp:extent cx="5494020" cy="629920"/>
                <wp:effectExtent l="635" t="635" r="29845" b="10795"/>
                <wp:wrapNone/>
                <wp:docPr id="1068" name="オブジェクト 0"/>
                <a:graphic xmlns:a="http://schemas.openxmlformats.org/drawingml/2006/main">
                  <a:graphicData uri="http://schemas.microsoft.com/office/word/2010/wordprocessingShape">
                    <wps:wsp>
                      <wps:cNvPr id="1068" name="オブジェクト 0"/>
                      <wps:cNvSpPr>
                        <a:spLocks noChangeArrowheads="1"/>
                      </wps:cNvSpPr>
                      <wps:spPr>
                        <a:xfrm>
                          <a:off x="0" y="0"/>
                          <a:ext cx="5494020" cy="629920"/>
                        </a:xfrm>
                        <a:prstGeom prst="bevel">
                          <a:avLst>
                            <a:gd name="adj" fmla="val 9972"/>
                          </a:avLst>
                        </a:prstGeom>
                        <a:solidFill>
                          <a:srgbClr val="FFFFFF"/>
                        </a:solidFill>
                        <a:ln w="9525">
                          <a:solidFill>
                            <a:sysClr val="windowText" lastClr="000000"/>
                          </a:solidFill>
                          <a:miter/>
                        </a:ln>
                      </wps:spPr>
                      <wps:txbx>
                        <w:txbxContent>
                          <w:p>
                            <w:pPr>
                              <w:pStyle w:val="0"/>
                              <w:snapToGrid w:val="0"/>
                              <w:spacing w:before="38" w:beforeLines="10" w:beforeAutospacing="0"/>
                              <w:jc w:val="center"/>
                              <w:rPr>
                                <w:rFonts w:hint="default" w:ascii="ＭＳ ゴシック" w:hAnsi="ＭＳ ゴシック" w:eastAsia="ＭＳ ゴシック"/>
                              </w:rPr>
                            </w:pPr>
                            <w:r>
                              <w:rPr>
                                <w:rFonts w:hint="eastAsia" w:ascii="ＭＳ ゴシック" w:hAnsi="ＭＳ ゴシック" w:eastAsia="ＭＳ ゴシック"/>
                              </w:rPr>
                              <w:t>【基本目標】</w:t>
                            </w:r>
                          </w:p>
                          <w:p>
                            <w:pPr>
                              <w:pStyle w:val="0"/>
                              <w:snapToGrid w:val="0"/>
                              <w:spacing w:before="38" w:beforeLines="10" w:beforeAutospacing="0"/>
                              <w:jc w:val="center"/>
                              <w:rPr>
                                <w:rFonts w:hint="default" w:ascii="ＭＳ ゴシック" w:hAnsi="ＭＳ ゴシック" w:eastAsia="ＭＳ ゴシック"/>
                              </w:rPr>
                            </w:pPr>
                            <w:r>
                              <w:rPr>
                                <w:rFonts w:hint="eastAsia" w:ascii="ＭＳ ゴシック" w:hAnsi="ＭＳ ゴシック" w:eastAsia="ＭＳ ゴシック"/>
                              </w:rPr>
                              <w:t>障害のある人が分け隔てられない共生社会の実現</w:t>
                            </w:r>
                          </w:p>
                        </w:txbxContent>
                      </wps:txbx>
                      <wps:bodyPr vertOverflow="overflow" horzOverflow="overflow" lIns="74295" tIns="8890" rIns="74295" bIns="8890" upright="1"/>
                    </wps:wsp>
                  </a:graphicData>
                </a:graphic>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オブジェクト 0" style="mso-wrap-distance-right:9pt;mso-wrap-distance-bottom:0pt;margin-top:3.85pt;mso-position-vertical-relative:text;mso-position-horizontal-relative:text;position:absolute;height:49.6pt;mso-wrap-distance-top:0pt;width:432.6pt;mso-wrap-distance-left:9pt;margin-left:37.04pt;z-index:55;" o:spid="_x0000_s1068" o:allowincell="t" o:allowoverlap="t" filled="t" fillcolor="#ffffff" stroked="t" strokecolor="#000000" strokeweight="0.75pt" o:spt="84" type="#_x0000_t84" adj="2154">
                <v:fill/>
                <v:stroke filltype="solid"/>
                <v:textbox style="layout-flow:horizontal;" inset="2.0637499999999998mm,0.24694444444444438mm,2.0637499999999998mm,0.24694444444444438mm">
                  <w:txbxContent>
                    <w:p>
                      <w:pPr>
                        <w:pStyle w:val="0"/>
                        <w:snapToGrid w:val="0"/>
                        <w:spacing w:before="38" w:beforeLines="10" w:beforeAutospacing="0"/>
                        <w:jc w:val="center"/>
                        <w:rPr>
                          <w:rFonts w:hint="default" w:ascii="ＭＳ ゴシック" w:hAnsi="ＭＳ ゴシック" w:eastAsia="ＭＳ ゴシック"/>
                        </w:rPr>
                      </w:pPr>
                      <w:r>
                        <w:rPr>
                          <w:rFonts w:hint="eastAsia" w:ascii="ＭＳ ゴシック" w:hAnsi="ＭＳ ゴシック" w:eastAsia="ＭＳ ゴシック"/>
                        </w:rPr>
                        <w:t>【基本目標】</w:t>
                      </w:r>
                    </w:p>
                    <w:p>
                      <w:pPr>
                        <w:pStyle w:val="0"/>
                        <w:snapToGrid w:val="0"/>
                        <w:spacing w:before="38" w:beforeLines="10" w:beforeAutospacing="0"/>
                        <w:jc w:val="center"/>
                        <w:rPr>
                          <w:rFonts w:hint="default" w:ascii="ＭＳ ゴシック" w:hAnsi="ＭＳ ゴシック" w:eastAsia="ＭＳ ゴシック"/>
                        </w:rPr>
                      </w:pPr>
                      <w:r>
                        <w:rPr>
                          <w:rFonts w:hint="eastAsia" w:ascii="ＭＳ ゴシック" w:hAnsi="ＭＳ ゴシック" w:eastAsia="ＭＳ ゴシック"/>
                        </w:rPr>
                        <w:t>障害のある人が分け隔てられない共生社会の実現</w:t>
                      </w:r>
                    </w:p>
                  </w:txbxContent>
                </v:textbox>
                <v:imagedata o:title=""/>
                <w10:wrap type="none" anchorx="text" anchory="text"/>
              </v:shape>
            </w:pict>
          </mc:Fallback>
        </mc:AlternateContent>
      </w:r>
    </w:p>
    <w:p>
      <w:pPr>
        <w:pStyle w:val="0"/>
        <w:adjustRightInd w:val="0"/>
        <w:ind w:left="240" w:hanging="240" w:hangingChars="100"/>
        <w:rPr>
          <w:rFonts w:hint="default" w:ascii="ＭＳ ゴシック" w:hAnsi="ＭＳ ゴシック" w:eastAsia="ＭＳ ゴシック"/>
        </w:rPr>
      </w:pPr>
    </w:p>
    <w:p>
      <w:pPr>
        <w:pStyle w:val="0"/>
        <w:adjustRightInd w:val="0"/>
        <w:ind w:left="240" w:hanging="240" w:hangingChars="100"/>
        <w:rPr>
          <w:rFonts w:hint="default" w:ascii="ＭＳ ゴシック" w:hAnsi="ＭＳ ゴシック" w:eastAsia="ＭＳ ゴシック"/>
        </w:rPr>
      </w:pPr>
    </w:p>
    <w:p>
      <w:pPr>
        <w:pStyle w:val="0"/>
        <w:adjustRightInd w:val="0"/>
        <w:ind w:left="240" w:hanging="240" w:hangingChars="100"/>
        <w:rPr>
          <w:rFonts w:hint="default" w:ascii="ＭＳ ゴシック" w:hAnsi="ＭＳ ゴシック" w:eastAsia="ＭＳ ゴシック"/>
        </w:rPr>
      </w:pPr>
      <w:r>
        <w:rPr>
          <w:rFonts w:hint="eastAsia" w:ascii="ＭＳ ゴシック" w:hAnsi="ＭＳ ゴシック" w:eastAsia="ＭＳ ゴシック"/>
        </w:rPr>
        <mc:AlternateContent>
          <mc:Choice Requires="wps">
            <w:drawing>
              <wp:anchor distT="0" distB="0" distL="114300" distR="114300" simplePos="0" relativeHeight="56" behindDoc="0" locked="0" layoutInCell="1" hidden="0" allowOverlap="1">
                <wp:simplePos x="0" y="0"/>
                <wp:positionH relativeFrom="column">
                  <wp:posOffset>470535</wp:posOffset>
                </wp:positionH>
                <wp:positionV relativeFrom="paragraph">
                  <wp:posOffset>149860</wp:posOffset>
                </wp:positionV>
                <wp:extent cx="5474970" cy="1283970"/>
                <wp:effectExtent l="635" t="635" r="29845" b="10795"/>
                <wp:wrapNone/>
                <wp:docPr id="1069" name="オブジェクト 0"/>
                <a:graphic xmlns:a="http://schemas.openxmlformats.org/drawingml/2006/main">
                  <a:graphicData uri="http://schemas.microsoft.com/office/word/2010/wordprocessingShape">
                    <wps:wsp>
                      <wps:cNvPr id="1069" name="オブジェクト 0"/>
                      <wps:cNvSpPr>
                        <a:spLocks noChangeArrowheads="1"/>
                      </wps:cNvSpPr>
                      <wps:spPr>
                        <a:xfrm>
                          <a:off x="0" y="0"/>
                          <a:ext cx="5474970" cy="1283970"/>
                        </a:xfrm>
                        <a:prstGeom prst="rect">
                          <a:avLst/>
                        </a:prstGeom>
                        <a:solidFill>
                          <a:srgbClr val="FFFFFF"/>
                        </a:solidFill>
                        <a:ln w="9525">
                          <a:solidFill>
                            <a:sysClr val="windowText" lastClr="000000"/>
                          </a:solidFill>
                          <a:miter/>
                        </a:ln>
                      </wps:spPr>
                      <wps:txbx>
                        <w:txbxContent>
                          <w:p>
                            <w:pPr>
                              <w:pStyle w:val="0"/>
                              <w:spacing w:before="194" w:beforeLines="50" w:beforeAutospacing="0" w:line="560" w:lineRule="exact"/>
                              <w:rPr>
                                <w:rFonts w:hint="default" w:ascii="ＭＳ ゴシック" w:hAnsi="ＭＳ ゴシック" w:eastAsia="ＭＳ ゴシック"/>
                              </w:rPr>
                            </w:pPr>
                            <w:r>
                              <w:rPr>
                                <w:rFonts w:hint="eastAsia" w:ascii="ＭＳ ゴシック" w:hAnsi="ＭＳ ゴシック" w:eastAsia="ＭＳ ゴシック"/>
                              </w:rPr>
                              <w:t>Ⅰ　障害に対する理解と相互交流の促進</w:t>
                            </w:r>
                          </w:p>
                          <w:p>
                            <w:pPr>
                              <w:pStyle w:val="0"/>
                              <w:spacing w:line="560" w:lineRule="exact"/>
                              <w:rPr>
                                <w:rFonts w:hint="default" w:ascii="ＭＳ ゴシック" w:hAnsi="ＭＳ ゴシック" w:eastAsia="ＭＳ ゴシック"/>
                              </w:rPr>
                            </w:pPr>
                            <w:r>
                              <w:rPr>
                                <w:rFonts w:hint="eastAsia" w:ascii="ＭＳ ゴシック" w:hAnsi="ＭＳ ゴシック" w:eastAsia="ＭＳ ゴシック"/>
                              </w:rPr>
                              <w:t>Ⅱ　多様な障害に応じたきめ細かな支援</w:t>
                            </w:r>
                          </w:p>
                          <w:p>
                            <w:pPr>
                              <w:pStyle w:val="0"/>
                              <w:spacing w:line="560" w:lineRule="exact"/>
                              <w:rPr>
                                <w:rFonts w:hint="default" w:ascii="ＭＳ ゴシック" w:hAnsi="ＭＳ ゴシック" w:eastAsia="ＭＳ ゴシック"/>
                              </w:rPr>
                            </w:pPr>
                            <w:r>
                              <w:rPr>
                                <w:rFonts w:hint="eastAsia" w:ascii="ＭＳ ゴシック" w:hAnsi="ＭＳ ゴシック" w:eastAsia="ＭＳ ゴシック"/>
                              </w:rPr>
                              <w:t>Ⅲ　地域における自立を支える体制づくり</w:t>
                            </w:r>
                          </w:p>
                        </w:txbxContent>
                      </wps:txbx>
                      <wps:bodyPr vertOverflow="overflow" horzOverflow="overflow" lIns="74295" tIns="8890" rIns="74295" bIns="8890" upright="1"/>
                    </wps:wsp>
                  </a:graphicData>
                </a:graphic>
              </wp:anchor>
            </w:drawing>
          </mc:Choice>
          <mc:Fallback>
            <w:pict>
              <v:rect id="オブジェクト 0" style="mso-wrap-distance-right:9pt;mso-wrap-distance-bottom:0pt;margin-top:11.8pt;mso-position-vertical-relative:text;mso-position-horizontal-relative:text;position:absolute;height:101.1pt;mso-wrap-distance-top:0pt;width:431.1pt;mso-wrap-distance-left:9pt;margin-left:37.04pt;z-index:56;" o:spid="_x0000_s1069" o:allowincell="t" o:allowoverlap="t" filled="t" fillcolor="#ffffff" stroked="t" strokecolor="#000000" strokeweight="0.75pt" o:spt="1">
                <v:fill/>
                <v:stroke filltype="solid"/>
                <v:textbox style="layout-flow:horizontal;" inset="2.0637499999999998mm,0.24694444444444438mm,2.0637499999999998mm,0.24694444444444438mm">
                  <w:txbxContent>
                    <w:p>
                      <w:pPr>
                        <w:pStyle w:val="0"/>
                        <w:spacing w:before="194" w:beforeLines="50" w:beforeAutospacing="0" w:line="560" w:lineRule="exact"/>
                        <w:rPr>
                          <w:rFonts w:hint="default" w:ascii="ＭＳ ゴシック" w:hAnsi="ＭＳ ゴシック" w:eastAsia="ＭＳ ゴシック"/>
                        </w:rPr>
                      </w:pPr>
                      <w:r>
                        <w:rPr>
                          <w:rFonts w:hint="eastAsia" w:ascii="ＭＳ ゴシック" w:hAnsi="ＭＳ ゴシック" w:eastAsia="ＭＳ ゴシック"/>
                        </w:rPr>
                        <w:t>Ⅰ　障害に対する理解と相互交流の促進</w:t>
                      </w:r>
                    </w:p>
                    <w:p>
                      <w:pPr>
                        <w:pStyle w:val="0"/>
                        <w:spacing w:line="560" w:lineRule="exact"/>
                        <w:rPr>
                          <w:rFonts w:hint="default" w:ascii="ＭＳ ゴシック" w:hAnsi="ＭＳ ゴシック" w:eastAsia="ＭＳ ゴシック"/>
                        </w:rPr>
                      </w:pPr>
                      <w:r>
                        <w:rPr>
                          <w:rFonts w:hint="eastAsia" w:ascii="ＭＳ ゴシック" w:hAnsi="ＭＳ ゴシック" w:eastAsia="ＭＳ ゴシック"/>
                        </w:rPr>
                        <w:t>Ⅱ　多様な障害に応じたきめ細かな支援</w:t>
                      </w:r>
                    </w:p>
                    <w:p>
                      <w:pPr>
                        <w:pStyle w:val="0"/>
                        <w:spacing w:line="560" w:lineRule="exact"/>
                        <w:rPr>
                          <w:rFonts w:hint="default" w:ascii="ＭＳ ゴシック" w:hAnsi="ＭＳ ゴシック" w:eastAsia="ＭＳ ゴシック"/>
                        </w:rPr>
                      </w:pPr>
                      <w:r>
                        <w:rPr>
                          <w:rFonts w:hint="eastAsia" w:ascii="ＭＳ ゴシック" w:hAnsi="ＭＳ ゴシック" w:eastAsia="ＭＳ ゴシック"/>
                        </w:rPr>
                        <w:t>Ⅲ　地域における自立を支える体制づくり</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58" behindDoc="0" locked="0" layoutInCell="1" hidden="0" allowOverlap="1">
                <wp:simplePos x="0" y="0"/>
                <wp:positionH relativeFrom="column">
                  <wp:posOffset>438150</wp:posOffset>
                </wp:positionH>
                <wp:positionV relativeFrom="paragraph">
                  <wp:posOffset>4445</wp:posOffset>
                </wp:positionV>
                <wp:extent cx="1839595" cy="277495"/>
                <wp:effectExtent l="635" t="635" r="29845" b="10795"/>
                <wp:wrapNone/>
                <wp:docPr id="1070" name="オブジェクト 0"/>
                <a:graphic xmlns:a="http://schemas.openxmlformats.org/drawingml/2006/main">
                  <a:graphicData uri="http://schemas.microsoft.com/office/word/2010/wordprocessingShape">
                    <wps:wsp>
                      <wps:cNvPr id="1070" name="オブジェクト 0"/>
                      <wps:cNvSpPr>
                        <a:spLocks noChangeArrowheads="1"/>
                      </wps:cNvSpPr>
                      <wps:spPr>
                        <a:xfrm>
                          <a:off x="0" y="0"/>
                          <a:ext cx="1839595" cy="277495"/>
                        </a:xfrm>
                        <a:prstGeom prst="ellipse">
                          <a:avLst/>
                        </a:prstGeom>
                        <a:solidFill>
                          <a:srgbClr val="C0C0C0"/>
                        </a:solidFill>
                        <a:ln w="9525">
                          <a:solidFill>
                            <a:sysClr val="windowText" lastClr="000000"/>
                          </a:solidFill>
                        </a:ln>
                      </wps:spPr>
                      <wps:txbx>
                        <w:txbxContent>
                          <w:p>
                            <w:pPr>
                              <w:pStyle w:val="0"/>
                              <w:snapToGrid w:val="0"/>
                              <w:jc w:val="center"/>
                              <w:rPr>
                                <w:rFonts w:hint="default" w:ascii="ＭＳ ゴシック" w:hAnsi="ＭＳ ゴシック" w:eastAsia="ＭＳ ゴシック"/>
                              </w:rPr>
                            </w:pPr>
                            <w:r>
                              <w:rPr>
                                <w:rFonts w:hint="eastAsia" w:ascii="ＭＳ ゴシック" w:hAnsi="ＭＳ ゴシック" w:eastAsia="ＭＳ ゴシック"/>
                              </w:rPr>
                              <w:t>施策の３本柱</w:t>
                            </w:r>
                          </w:p>
                        </w:txbxContent>
                      </wps:txbx>
                      <wps:bodyPr vertOverflow="overflow" horzOverflow="overflow" lIns="74295" tIns="8890" rIns="74295" bIns="8890" upright="1"/>
                    </wps:wsp>
                  </a:graphicData>
                </a:graphic>
              </wp:anchor>
            </w:drawing>
          </mc:Choice>
          <mc:Fallback>
            <w:pict>
              <v:oval id="オブジェクト 0" style="mso-wrap-distance-right:9pt;mso-wrap-distance-bottom:0pt;margin-top:0.35pt;mso-position-vertical-relative:text;mso-position-horizontal-relative:text;position:absolute;height:21.85pt;mso-wrap-distance-top:0pt;width:144.85pt;mso-wrap-distance-left:9pt;margin-left:34.5pt;z-index:58;" o:spid="_x0000_s1070" o:allowincell="t" o:allowoverlap="t" filled="t" fillcolor="#c0c0c0" stroked="t" strokecolor="#000000" strokeweight="0.75pt" o:spt="3">
                <v:fill/>
                <v:stroke filltype="solid"/>
                <v:textbox style="layout-flow:horizontal;" inset="2.0637499999999998mm,0.24694444444444438mm,2.0637499999999998mm,0.24694444444444438mm">
                  <w:txbxContent>
                    <w:p>
                      <w:pPr>
                        <w:pStyle w:val="0"/>
                        <w:snapToGrid w:val="0"/>
                        <w:jc w:val="center"/>
                        <w:rPr>
                          <w:rFonts w:hint="default" w:ascii="ＭＳ ゴシック" w:hAnsi="ＭＳ ゴシック" w:eastAsia="ＭＳ ゴシック"/>
                        </w:rPr>
                      </w:pPr>
                      <w:r>
                        <w:rPr>
                          <w:rFonts w:hint="eastAsia" w:ascii="ＭＳ ゴシック" w:hAnsi="ＭＳ ゴシック" w:eastAsia="ＭＳ ゴシック"/>
                        </w:rPr>
                        <w:t>施策の３本柱</w:t>
                      </w:r>
                    </w:p>
                  </w:txbxContent>
                </v:textbox>
                <v:imagedata o:title=""/>
                <w10:wrap type="none" anchorx="text" anchory="text"/>
              </v:oval>
            </w:pict>
          </mc:Fallback>
        </mc:AlternateContent>
      </w:r>
    </w:p>
    <w:p>
      <w:pPr>
        <w:pStyle w:val="0"/>
        <w:adjustRightInd w:val="0"/>
        <w:ind w:left="240" w:hanging="240" w:hangingChars="100"/>
        <w:rPr>
          <w:rFonts w:hint="default" w:ascii="ＭＳ ゴシック" w:hAnsi="ＭＳ ゴシック" w:eastAsia="ＭＳ ゴシック"/>
        </w:rPr>
      </w:pPr>
    </w:p>
    <w:p>
      <w:pPr>
        <w:pStyle w:val="0"/>
        <w:adjustRightInd w:val="0"/>
        <w:ind w:left="240" w:hanging="240" w:hangingChars="100"/>
        <w:rPr>
          <w:rFonts w:hint="default" w:ascii="ＭＳ ゴシック" w:hAnsi="ＭＳ ゴシック" w:eastAsia="ＭＳ ゴシック"/>
        </w:rPr>
      </w:pPr>
    </w:p>
    <w:p>
      <w:pPr>
        <w:pStyle w:val="0"/>
        <w:adjustRightInd w:val="0"/>
        <w:ind w:left="240" w:hanging="240" w:hangingChars="100"/>
        <w:rPr>
          <w:rFonts w:hint="default" w:ascii="ＭＳ ゴシック" w:hAnsi="ＭＳ ゴシック" w:eastAsia="ＭＳ ゴシック"/>
        </w:rPr>
      </w:pPr>
    </w:p>
    <w:p>
      <w:pPr>
        <w:pStyle w:val="0"/>
        <w:adjustRightInd w:val="0"/>
        <w:ind w:left="240" w:hanging="240" w:hangingChars="100"/>
        <w:rPr>
          <w:rFonts w:hint="default" w:ascii="ＭＳ ゴシック" w:hAnsi="ＭＳ ゴシック" w:eastAsia="ＭＳ ゴシック"/>
        </w:rPr>
      </w:pPr>
    </w:p>
    <w:p>
      <w:pPr>
        <w:pStyle w:val="0"/>
        <w:adjustRightInd w:val="0"/>
        <w:ind w:left="240" w:hanging="240" w:hangingChars="100"/>
        <w:rPr>
          <w:rFonts w:hint="default" w:ascii="ＭＳ ゴシック" w:hAnsi="ＭＳ ゴシック" w:eastAsia="ＭＳ ゴシック"/>
        </w:rPr>
      </w:pPr>
    </w:p>
    <w:p>
      <w:pPr>
        <w:pStyle w:val="0"/>
        <w:adjustRightInd w:val="0"/>
        <w:ind w:left="240" w:hanging="240" w:hangingChars="100"/>
        <w:rPr>
          <w:rFonts w:hint="default" w:ascii="ＭＳ ゴシック" w:hAnsi="ＭＳ ゴシック" w:eastAsia="ＭＳ ゴシック"/>
        </w:rPr>
      </w:pPr>
    </w:p>
    <w:p>
      <w:pPr>
        <w:pStyle w:val="0"/>
        <w:adjustRightInd w:val="0"/>
        <w:ind w:left="240" w:hanging="240" w:hangingChars="100"/>
        <w:rPr>
          <w:rFonts w:hint="default" w:ascii="ＭＳ ゴシック" w:hAnsi="ＭＳ ゴシック" w:eastAsia="ＭＳ ゴシック"/>
        </w:rPr>
      </w:pPr>
    </w:p>
    <w:p>
      <w:pPr>
        <w:pStyle w:val="0"/>
        <w:rPr>
          <w:rFonts w:hint="default"/>
        </w:rPr>
      </w:pPr>
    </w:p>
    <w:p>
      <w:pPr>
        <w:pStyle w:val="0"/>
        <w:adjustRightInd w:val="0"/>
        <w:ind w:left="268" w:hanging="268" w:hangingChars="100"/>
        <w:rPr>
          <w:rFonts w:hint="default" w:ascii="ＭＳ ゴシック" w:hAnsi="ＭＳ ゴシック" w:eastAsia="ＭＳ ゴシック"/>
          <w:spacing w:val="14"/>
        </w:rPr>
      </w:pPr>
    </w:p>
    <w:p>
      <w:pPr>
        <w:pStyle w:val="0"/>
        <w:adjustRightInd w:val="0"/>
        <w:ind w:left="268" w:hanging="268" w:hangingChars="100"/>
        <w:rPr>
          <w:rFonts w:hint="default" w:ascii="ＭＳ ゴシック" w:hAnsi="ＭＳ ゴシック" w:eastAsia="ＭＳ ゴシック"/>
          <w:spacing w:val="14"/>
        </w:rPr>
      </w:pPr>
    </w:p>
    <w:p>
      <w:pPr>
        <w:pStyle w:val="0"/>
        <w:adjustRightInd w:val="0"/>
        <w:ind w:left="268" w:hanging="268" w:hangingChars="100"/>
        <w:rPr>
          <w:rFonts w:hint="default" w:ascii="ＭＳ ゴシック" w:hAnsi="ＭＳ ゴシック" w:eastAsia="ＭＳ ゴシック"/>
          <w:spacing w:val="14"/>
        </w:rPr>
      </w:pPr>
    </w:p>
    <w:p>
      <w:pPr>
        <w:pStyle w:val="0"/>
        <w:adjustRightInd w:val="0"/>
        <w:ind w:left="268" w:hanging="268" w:hangingChars="100"/>
        <w:rPr>
          <w:rFonts w:hint="default" w:ascii="ＭＳ ゴシック" w:hAnsi="ＭＳ ゴシック" w:eastAsia="ＭＳ ゴシック"/>
          <w:spacing w:val="14"/>
        </w:rPr>
      </w:pPr>
    </w:p>
    <w:p>
      <w:pPr>
        <w:pStyle w:val="0"/>
        <w:spacing w:line="360" w:lineRule="exact"/>
        <w:rPr>
          <w:rFonts w:hint="default"/>
        </w:rPr>
      </w:pPr>
      <w:r>
        <w:rPr>
          <w:rFonts w:hint="default" w:ascii="HG丸ｺﾞｼｯｸM-PRO" w:hAnsi="HG丸ｺﾞｼｯｸM-PRO" w:eastAsia="HG丸ｺﾞｼｯｸM-PRO"/>
          <w:b w:val="1"/>
        </w:rPr>
        <w:br w:type="page"/>
      </w:r>
    </w:p>
    <w:p>
      <w:pPr>
        <w:pStyle w:val="0"/>
        <w:spacing w:line="240" w:lineRule="auto"/>
        <w:rPr>
          <w:rFonts w:hint="default"/>
        </w:rPr>
      </w:pPr>
      <w:r>
        <w:rPr>
          <w:rFonts w:hint="eastAsia" w:ascii="ＭＳ ゴシック" w:hAnsi="ＭＳ ゴシック" w:eastAsia="ＭＳ ゴシック"/>
          <w:sz w:val="26"/>
          <w:u w:val="single" w:color="auto"/>
        </w:rPr>
        <w:t>２　第５次障害者計画における重点施策</w:t>
      </w:r>
    </w:p>
    <w:p>
      <w:pPr>
        <w:pStyle w:val="0"/>
        <w:spacing w:line="360" w:lineRule="exact"/>
        <w:ind w:firstLine="240" w:firstLineChars="100"/>
        <w:rPr>
          <w:rFonts w:hint="default"/>
          <w:sz w:val="26"/>
        </w:rPr>
      </w:pPr>
      <w:r>
        <w:rPr>
          <w:rFonts w:hint="eastAsia"/>
        </w:rPr>
        <w:t>第５次計画では、第４次計画を継承しつつ、社会情勢の変化や新たな課題に対応するため、下記の４項目を「重点的に取り組む施策」として位置付け、取組の推進を図ります。</w:t>
      </w:r>
    </w:p>
    <w:p>
      <w:pPr>
        <w:pStyle w:val="0"/>
        <w:spacing w:line="240" w:lineRule="auto"/>
        <w:rPr>
          <w:rFonts w:hint="default"/>
          <w:sz w:val="26"/>
        </w:rPr>
      </w:pPr>
      <w:r>
        <w:rPr>
          <w:rFonts w:hint="eastAsia"/>
        </w:rPr>
        <mc:AlternateContent>
          <mc:Choice Requires="wps">
            <w:drawing>
              <wp:anchor distT="0" distB="0" distL="203200" distR="203200" simplePos="0" relativeHeight="32" behindDoc="0" locked="0" layoutInCell="1" hidden="0" allowOverlap="1">
                <wp:simplePos x="0" y="0"/>
                <wp:positionH relativeFrom="column">
                  <wp:posOffset>97790</wp:posOffset>
                </wp:positionH>
                <wp:positionV relativeFrom="paragraph">
                  <wp:posOffset>238125</wp:posOffset>
                </wp:positionV>
                <wp:extent cx="6047740" cy="323850"/>
                <wp:effectExtent l="635" t="635" r="29845" b="10795"/>
                <wp:wrapNone/>
                <wp:docPr id="1071" name="オブジェクト 0"/>
                <a:graphic xmlns:a="http://schemas.openxmlformats.org/drawingml/2006/main">
                  <a:graphicData uri="http://schemas.microsoft.com/office/word/2010/wordprocessingShape">
                    <wps:wsp>
                      <wps:cNvPr id="1071" name="オブジェクト 0"/>
                      <wps:cNvSpPr/>
                      <wps:spPr>
                        <a:xfrm>
                          <a:off x="0" y="0"/>
                          <a:ext cx="6047740" cy="323850"/>
                        </a:xfrm>
                        <a:prstGeom prst="rect">
                          <a:avLst/>
                        </a:prstGeom>
                        <a:noFill/>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18.75pt;mso-position-vertical-relative:text;mso-position-horizontal-relative:text;position:absolute;height:25.5pt;mso-wrap-distance-top:0pt;width:476.2pt;mso-wrap-distance-left:16pt;margin-left:7.7pt;z-index:32;" o:spid="_x0000_s1071" o:allowincell="t" o:allowoverlap="t" filled="f" stroked="t" strokecolor="#000000 [3200]" strokeweight="1pt" o:spt="1">
                <v:fill/>
                <v:stroke linestyle="single" miterlimit="8" endcap="flat" dashstyle="solid" filltype="solid"/>
                <v:textbox style="layout-flow:horizontal;"/>
                <v:imagedata o:title=""/>
                <w10:wrap type="none" anchorx="text" anchory="text"/>
              </v:rect>
            </w:pict>
          </mc:Fallback>
        </mc:AlternateContent>
      </w:r>
    </w:p>
    <w:p>
      <w:pPr>
        <w:pStyle w:val="0"/>
        <w:spacing w:after="194" w:afterLines="50" w:afterAutospacing="0" w:line="360" w:lineRule="exact"/>
        <w:ind w:firstLine="240" w:firstLineChars="100"/>
        <w:rPr>
          <w:rFonts w:hint="default"/>
          <w:sz w:val="26"/>
        </w:rPr>
      </w:pPr>
      <w:r>
        <w:rPr>
          <w:rFonts w:hint="eastAsia" w:ascii="ＭＳ ゴシック" w:hAnsi="ＭＳ ゴシック" w:eastAsia="ＭＳ ゴシック"/>
        </w:rPr>
        <w:t>＜重点１＞障害者差別解消法の改正に伴う、民間事業者による合理的配慮</w:t>
      </w:r>
      <w:r>
        <w:rPr>
          <w:rFonts w:hint="eastAsia"/>
          <w:color w:val="000000" w:themeColor="text1"/>
          <w:spacing w:val="-4"/>
          <w:kern w:val="0"/>
          <w:vertAlign w:val="superscript"/>
        </w:rPr>
        <w:t>＊</w:t>
      </w:r>
      <w:r>
        <w:rPr>
          <w:rFonts w:hint="eastAsia" w:ascii="ＭＳ ゴシック" w:hAnsi="ＭＳ ゴシック" w:eastAsia="ＭＳ ゴシック"/>
        </w:rPr>
        <w:t>の提供促進</w:t>
      </w:r>
    </w:p>
    <w:p>
      <w:pPr>
        <w:pStyle w:val="0"/>
        <w:spacing w:line="360" w:lineRule="exact"/>
        <w:ind w:left="240" w:leftChars="100" w:firstLine="240" w:firstLineChars="100"/>
        <w:rPr>
          <w:rFonts w:hint="default"/>
          <w:sz w:val="26"/>
        </w:rPr>
      </w:pPr>
      <w:r>
        <w:rPr>
          <w:rFonts w:hint="eastAsia"/>
          <w:kern w:val="0"/>
        </w:rPr>
        <w:t>令和３年６月に障害者差別解消法が改正され、「合理的配慮の提供」が３年以内に民間事業者にも義務化されますが、令和２年度のインターネットモニターアンケートによると、「（障害のある人に対する</w:t>
      </w:r>
      <w:r>
        <w:rPr>
          <w:rFonts w:hint="eastAsia"/>
          <w:kern w:val="0"/>
        </w:rPr>
        <w:t>)</w:t>
      </w:r>
      <w:r>
        <w:rPr>
          <w:rFonts w:hint="eastAsia"/>
          <w:kern w:val="0"/>
        </w:rPr>
        <w:t>合理的配慮の言葉を聞いたことがあり、内容も知っている」と答えた方は</w:t>
      </w:r>
      <w:r>
        <w:rPr>
          <w:rFonts w:hint="eastAsia"/>
          <w:kern w:val="0"/>
        </w:rPr>
        <w:t>23.5%</w:t>
      </w:r>
      <w:r>
        <w:rPr>
          <w:rFonts w:hint="eastAsia"/>
          <w:kern w:val="0"/>
        </w:rPr>
        <w:t>に留まり、障害に対する理解が十分に進んでいない状況です。</w:t>
      </w:r>
    </w:p>
    <w:p>
      <w:pPr>
        <w:pStyle w:val="0"/>
        <w:widowControl w:val="1"/>
        <w:spacing w:line="360" w:lineRule="exact"/>
        <w:ind w:left="240" w:leftChars="100" w:firstLine="240" w:firstLineChars="100"/>
        <w:jc w:val="left"/>
        <w:rPr>
          <w:rFonts w:hint="default" w:asciiTheme="minorEastAsia" w:hAnsiTheme="minorEastAsia" w:eastAsiaTheme="minorEastAsia"/>
        </w:rPr>
      </w:pPr>
      <w:r>
        <w:rPr>
          <w:rFonts w:hint="eastAsia"/>
        </w:rPr>
        <w:t>このため、障害者差別解消法の改正を踏まえ、「静岡県障害を理由とする差別の解消の推進に関する条例</w:t>
      </w:r>
      <w:r>
        <w:rPr>
          <w:rFonts w:hint="eastAsia"/>
          <w:spacing w:val="-4"/>
          <w:kern w:val="0"/>
          <w:vertAlign w:val="superscript"/>
        </w:rPr>
        <w:t>＊</w:t>
      </w:r>
      <w:r>
        <w:rPr>
          <w:rFonts w:hint="eastAsia"/>
        </w:rPr>
        <w:t>」の改正とともに、「障害を理由とする差別解消県民会議」と連携し、障害の特性や障害に応じた適切な配慮について、一層の理解と促進を図ります。</w:t>
      </w:r>
    </w:p>
    <w:p>
      <w:pPr>
        <w:pStyle w:val="0"/>
        <w:widowControl w:val="1"/>
        <w:spacing w:line="300" w:lineRule="exact"/>
        <w:ind w:left="240" w:leftChars="100"/>
        <w:jc w:val="left"/>
        <w:rPr>
          <w:rFonts w:hint="default"/>
        </w:rPr>
      </w:pPr>
    </w:p>
    <w:tbl>
      <w:tblPr>
        <w:tblStyle w:val="11"/>
        <w:tblW w:w="0" w:type="auto"/>
        <w:tblInd w:w="0" w:type="dxa"/>
        <w:tblBorders>
          <w:top w:val="single" w:color="FFFFFF" w:sz="4" w:space="0"/>
          <w:left w:val="single" w:color="FFFFFF" w:sz="4" w:space="0"/>
          <w:bottom w:val="single" w:color="FFFFFF" w:sz="4" w:space="0"/>
          <w:right w:val="single" w:color="FFFFFF" w:sz="4" w:space="0"/>
          <w:insideH w:val="none" w:color="auto" w:sz="0" w:space="0"/>
          <w:insideV w:val="single" w:color="FFFFFF" w:sz="4" w:space="0"/>
        </w:tblBorders>
        <w:tblLayout w:type="fixed"/>
        <w:tblLook w:firstRow="1" w:lastRow="0" w:firstColumn="1" w:lastColumn="0" w:noHBand="0" w:noVBand="0" w:val="00A0"/>
      </w:tblPr>
      <w:tblGrid>
        <w:gridCol w:w="4942"/>
        <w:gridCol w:w="4942"/>
      </w:tblGrid>
      <w:tr>
        <w:trPr>
          <w:trHeight w:val="2577" w:hRule="atLeast"/>
        </w:trPr>
        <w:tc>
          <w:tcPr>
            <w:tcW w:w="4942" w:type="dxa"/>
            <w:tcBorders>
              <w:top w:val="none" w:color="auto" w:sz="0" w:space="0"/>
              <w:left w:val="none" w:color="auto" w:sz="0" w:space="0"/>
              <w:bottom w:val="none" w:color="auto" w:sz="0" w:space="0"/>
              <w:right w:val="none" w:color="auto" w:sz="0" w:space="0"/>
              <w:tl2br w:val="nil"/>
              <w:tr2bl w:val="nil"/>
            </w:tcBorders>
            <w:vAlign w:val="top"/>
          </w:tcPr>
          <w:p>
            <w:pPr>
              <w:pStyle w:val="0"/>
              <w:widowControl w:val="1"/>
              <w:spacing w:line="283" w:lineRule="exact"/>
              <w:ind w:firstLine="200" w:firstLineChars="100"/>
              <w:jc w:val="left"/>
              <w:rPr>
                <w:rFonts w:hint="default" w:ascii="Century" w:hAnsi="Century"/>
                <w:sz w:val="20"/>
              </w:rPr>
            </w:pPr>
            <w:r>
              <w:rPr>
                <w:rFonts w:hint="eastAsia" w:ascii="ＭＳ Ｐ明朝" w:hAnsi="ＭＳ Ｐ明朝" w:eastAsia="ＭＳ Ｐ明朝"/>
                <w:sz w:val="20"/>
              </w:rPr>
              <w:t>（障害のある人に対する）合理的配慮の認知度</w:t>
            </w:r>
          </w:p>
          <w:p>
            <w:pPr>
              <w:pStyle w:val="0"/>
              <w:widowControl w:val="1"/>
              <w:spacing w:line="283" w:lineRule="exact"/>
              <w:jc w:val="left"/>
              <w:rPr>
                <w:rFonts w:hint="default" w:ascii="Century" w:hAnsi="Century"/>
                <w:sz w:val="21"/>
              </w:rPr>
            </w:pPr>
            <w:r>
              <w:rPr>
                <w:rFonts w:hint="eastAsia" w:ascii="Century" w:hAnsi="Century"/>
                <w:sz w:val="21"/>
              </w:rPr>
              <w:t>　　　　　　　　　　　　　　　</w:t>
            </w:r>
          </w:p>
          <w:p>
            <w:pPr>
              <w:pStyle w:val="0"/>
              <w:widowControl w:val="1"/>
              <w:spacing w:line="283" w:lineRule="exact"/>
              <w:jc w:val="left"/>
              <w:rPr>
                <w:rFonts w:hint="default" w:ascii="Century" w:hAnsi="Century"/>
                <w:sz w:val="21"/>
              </w:rPr>
            </w:pPr>
            <w:r>
              <w:rPr>
                <w:rFonts w:hint="eastAsia"/>
              </w:rPr>
              <mc:AlternateContent>
                <mc:Choice Requires="wps">
                  <w:drawing>
                    <wp:anchor distL="203200" distR="203200" simplePos="0" relativeHeight="33" behindDoc="0" locked="0" layoutInCell="1" hidden="0" allowOverlap="1">
                      <wp:simplePos x="0" y="0"/>
                      <wp:positionH relativeFrom="column">
                        <wp:posOffset>2025015</wp:posOffset>
                      </wp:positionH>
                      <wp:positionV relativeFrom="paragraph">
                        <wp:posOffset>15240</wp:posOffset>
                      </wp:positionV>
                      <wp:extent cx="1063625" cy="704215"/>
                      <wp:effectExtent l="0" t="0" r="635" b="635"/>
                      <wp:wrapNone/>
                      <wp:docPr id="1072" name="オブジェクト 0"/>
                      <a:graphic xmlns:a="http://schemas.openxmlformats.org/drawingml/2006/main">
                        <a:graphicData uri="http://schemas.microsoft.com/office/word/2010/wordprocessingShape">
                          <wps:wsp>
                            <wps:cNvPr id="1072" name="オブジェクト 0"/>
                            <wps:cNvSpPr>
                              <a:spLocks noChangeArrowheads="1"/>
                            </wps:cNvSpPr>
                            <wps:spPr>
                              <a:xfrm>
                                <a:off x="0" y="0"/>
                                <a:ext cx="1063625" cy="704215"/>
                              </a:xfrm>
                              <a:prstGeom prst="rect">
                                <a:avLst/>
                              </a:prstGeom>
                              <a:noFill/>
                              <a:ln>
                                <a:miter/>
                              </a:ln>
                            </wps:spPr>
                            <wps:txbx>
                              <w:txbxContent>
                                <w:p>
                                  <w:pPr>
                                    <w:pStyle w:val="0"/>
                                    <w:spacing w:line="220" w:lineRule="exact"/>
                                    <w:rPr>
                                      <w:rFonts w:hint="default"/>
                                      <w:sz w:val="18"/>
                                    </w:rPr>
                                  </w:pPr>
                                  <w:r>
                                    <w:rPr>
                                      <w:rFonts w:hint="eastAsia"/>
                                      <w:sz w:val="18"/>
                                    </w:rPr>
                                    <w:t>言葉を聞いたこと</w:t>
                                  </w:r>
                                </w:p>
                                <w:p>
                                  <w:pPr>
                                    <w:pStyle w:val="0"/>
                                    <w:spacing w:line="220" w:lineRule="exact"/>
                                    <w:rPr>
                                      <w:rFonts w:hint="default"/>
                                      <w:sz w:val="18"/>
                                    </w:rPr>
                                  </w:pPr>
                                  <w:r>
                                    <w:rPr>
                                      <w:rFonts w:hint="eastAsia"/>
                                      <w:sz w:val="18"/>
                                    </w:rPr>
                                    <w:t>があり、内容も</w:t>
                                  </w:r>
                                </w:p>
                                <w:p>
                                  <w:pPr>
                                    <w:pStyle w:val="0"/>
                                    <w:spacing w:line="220" w:lineRule="exact"/>
                                    <w:rPr>
                                      <w:rFonts w:hint="default"/>
                                      <w:sz w:val="18"/>
                                    </w:rPr>
                                  </w:pPr>
                                  <w:r>
                                    <w:rPr>
                                      <w:rFonts w:hint="eastAsia"/>
                                      <w:sz w:val="18"/>
                                    </w:rPr>
                                    <w:t>知っている　</w:t>
                                  </w:r>
                                </w:p>
                                <w:p>
                                  <w:pPr>
                                    <w:pStyle w:val="0"/>
                                    <w:spacing w:line="220" w:lineRule="exact"/>
                                    <w:ind w:firstLine="360" w:firstLineChars="200"/>
                                    <w:rPr>
                                      <w:rFonts w:hint="default"/>
                                      <w:sz w:val="18"/>
                                    </w:rPr>
                                  </w:pPr>
                                  <w:r>
                                    <w:rPr>
                                      <w:rFonts w:hint="default"/>
                                      <w:sz w:val="18"/>
                                    </w:rPr>
                                    <w:t>23.5</w:t>
                                  </w:r>
                                  <w:r>
                                    <w:rPr>
                                      <w:rFonts w:hint="eastAsia"/>
                                      <w:sz w:val="18"/>
                                    </w:rPr>
                                    <w:t>％</w:t>
                                  </w:r>
                                </w:p>
                              </w:txbxContent>
                            </wps:txbx>
                            <wps:bodyPr vertOverflow="overflow" horzOverflow="overflow" lIns="74295" tIns="8890" rIns="74295" bIns="8890" anchor="ctr" upright="1"/>
                          </wps:wsp>
                        </a:graphicData>
                      </a:graphic>
                    </wp:anchor>
                  </w:drawing>
                </mc:Choice>
                <mc:Fallback>
                  <w:pict>
                    <v:rect id="オブジェクト 0" style="mso-wrap-distance-right:16pt;margin-top:1.2pt;mso-position-vertical-relative:text;mso-position-horizontal-relative:text;v-text-anchor:middle;position:absolute;height:55.45pt;width:83.75pt;mso-wrap-distance-left:16pt;margin-left:159.44pt;z-index:33;" o:spid="_x0000_s1072" o:allowincell="t" o:allowoverlap="t" filled="f" stroked="f" o:spt="1">
                      <v:fill/>
                      <v:textbox style="layout-flow:horizontal;" inset="2.0637499999999998mm,0.24694444444444438mm,2.0637499999999998mm,0.24694444444444438mm">
                        <w:txbxContent>
                          <w:p>
                            <w:pPr>
                              <w:pStyle w:val="0"/>
                              <w:spacing w:line="220" w:lineRule="exact"/>
                              <w:rPr>
                                <w:rFonts w:hint="default"/>
                                <w:sz w:val="18"/>
                              </w:rPr>
                            </w:pPr>
                            <w:r>
                              <w:rPr>
                                <w:rFonts w:hint="eastAsia"/>
                                <w:sz w:val="18"/>
                              </w:rPr>
                              <w:t>言葉を聞いたこと</w:t>
                            </w:r>
                          </w:p>
                          <w:p>
                            <w:pPr>
                              <w:pStyle w:val="0"/>
                              <w:spacing w:line="220" w:lineRule="exact"/>
                              <w:rPr>
                                <w:rFonts w:hint="default"/>
                                <w:sz w:val="18"/>
                              </w:rPr>
                            </w:pPr>
                            <w:r>
                              <w:rPr>
                                <w:rFonts w:hint="eastAsia"/>
                                <w:sz w:val="18"/>
                              </w:rPr>
                              <w:t>があり、内容も</w:t>
                            </w:r>
                          </w:p>
                          <w:p>
                            <w:pPr>
                              <w:pStyle w:val="0"/>
                              <w:spacing w:line="220" w:lineRule="exact"/>
                              <w:rPr>
                                <w:rFonts w:hint="default"/>
                                <w:sz w:val="18"/>
                              </w:rPr>
                            </w:pPr>
                            <w:r>
                              <w:rPr>
                                <w:rFonts w:hint="eastAsia"/>
                                <w:sz w:val="18"/>
                              </w:rPr>
                              <w:t>知っている　</w:t>
                            </w:r>
                          </w:p>
                          <w:p>
                            <w:pPr>
                              <w:pStyle w:val="0"/>
                              <w:spacing w:line="220" w:lineRule="exact"/>
                              <w:ind w:firstLine="360" w:firstLineChars="200"/>
                              <w:rPr>
                                <w:rFonts w:hint="default"/>
                                <w:sz w:val="18"/>
                              </w:rPr>
                            </w:pPr>
                            <w:r>
                              <w:rPr>
                                <w:rFonts w:hint="default"/>
                                <w:sz w:val="18"/>
                              </w:rPr>
                              <w:t>23.5</w:t>
                            </w:r>
                            <w:r>
                              <w:rPr>
                                <w:rFonts w:hint="eastAsia"/>
                                <w:sz w:val="18"/>
                              </w:rPr>
                              <w:t>％</w:t>
                            </w:r>
                          </w:p>
                        </w:txbxContent>
                      </v:textbox>
                      <v:imagedata o:title=""/>
                      <w10:wrap type="none" anchorx="text" anchory="text"/>
                    </v:rect>
                  </w:pict>
                </mc:Fallback>
              </mc:AlternateContent>
            </w:r>
            <w:r>
              <w:rPr>
                <w:rFonts w:hint="eastAsia" w:ascii="Century" w:hAnsi="Century"/>
                <w:sz w:val="21"/>
              </w:rPr>
              <w:t>　　　　　　　　　　　　</w:t>
            </w:r>
          </w:p>
          <w:p>
            <w:pPr>
              <w:pStyle w:val="0"/>
              <w:widowControl w:val="1"/>
              <w:spacing w:line="283" w:lineRule="exact"/>
              <w:jc w:val="left"/>
              <w:rPr>
                <w:rFonts w:hint="default" w:ascii="Century" w:hAnsi="Century"/>
                <w:sz w:val="21"/>
              </w:rPr>
            </w:pPr>
            <w:r>
              <w:rPr>
                <w:rFonts w:hint="eastAsia"/>
              </w:rPr>
              <mc:AlternateContent>
                <mc:Choice Requires="wps">
                  <w:drawing>
                    <wp:anchor distL="203200" distR="203200" simplePos="0" relativeHeight="34" behindDoc="0" locked="0" layoutInCell="1" hidden="0" allowOverlap="1">
                      <wp:simplePos x="0" y="0"/>
                      <wp:positionH relativeFrom="column">
                        <wp:posOffset>1666875</wp:posOffset>
                      </wp:positionH>
                      <wp:positionV relativeFrom="paragraph">
                        <wp:posOffset>59055</wp:posOffset>
                      </wp:positionV>
                      <wp:extent cx="394970" cy="95885"/>
                      <wp:effectExtent l="635" t="635" r="29845" b="10795"/>
                      <wp:wrapNone/>
                      <wp:docPr id="1073" name="オブジェクト 0"/>
                      <a:graphic xmlns:a="http://schemas.openxmlformats.org/drawingml/2006/main">
                        <a:graphicData uri="http://schemas.microsoft.com/office/word/2010/wordprocessingShape">
                          <wps:wsp>
                            <wps:cNvPr id="1073" name="オブジェクト 0"/>
                            <wps:cNvSpPr/>
                            <wps:spPr>
                              <a:xfrm flipH="1">
                                <a:off x="0" y="0"/>
                                <a:ext cx="394970" cy="95885"/>
                              </a:xfrm>
                              <a:prstGeom prst="line">
                                <a:avLst/>
                              </a:prstGeom>
                              <a:solidFill>
                                <a:srgbClr val="FFFFFF"/>
                              </a:solidFill>
                              <a:ln w="9525">
                                <a:solidFill>
                                  <a:sysClr val="windowText" lastClr="000000"/>
                                </a:solidFill>
                                <a:miter/>
                              </a:ln>
                            </wps:spPr>
                            <wps:bodyPr/>
                          </wps:wsp>
                        </a:graphicData>
                      </a:graphic>
                    </wp:anchor>
                  </w:drawing>
                </mc:Choice>
                <mc:Fallback>
                  <w:pict>
                    <v:line id="オブジェクト 0" style="flip:x;mso-wrap-distance-right:16pt;mso-position-vertical-relative:text;mso-position-horizontal-relative:text;position:absolute;mso-wrap-distance-left:16pt;z-index:34;" o:spid="_x0000_s1073" o:allowincell="t" o:allowoverlap="t" filled="t" fillcolor="#ffffff" stroked="t" strokecolor="#000000" strokeweight="0.75pt" o:spt="20" from="131.25pt,4.6500000000000004pt" to="162.35000000000002pt,12.2pt">
                      <v:fill/>
                      <v:stroke filltype="solid"/>
                      <v:textbox style="layout-flow:horizontal;"/>
                      <v:imagedata o:title=""/>
                      <w10:wrap type="none" anchorx="text" anchory="text"/>
                    </v:line>
                  </w:pict>
                </mc:Fallback>
              </mc:AlternateContent>
            </w:r>
          </w:p>
          <w:p>
            <w:pPr>
              <w:pStyle w:val="0"/>
              <w:widowControl w:val="1"/>
              <w:spacing w:line="283" w:lineRule="exact"/>
              <w:jc w:val="left"/>
              <w:rPr>
                <w:rFonts w:hint="default" w:ascii="Century" w:hAnsi="Century"/>
                <w:sz w:val="21"/>
              </w:rPr>
            </w:pPr>
            <w:r>
              <w:rPr>
                <w:rFonts w:hint="eastAsia"/>
              </w:rPr>
              <mc:AlternateContent>
                <mc:Choice Requires="wps">
                  <w:drawing>
                    <wp:anchor distL="203200" distR="203200" simplePos="0" relativeHeight="35" behindDoc="0" locked="0" layoutInCell="1" hidden="0" allowOverlap="1">
                      <wp:simplePos x="0" y="0"/>
                      <wp:positionH relativeFrom="column">
                        <wp:posOffset>-66675</wp:posOffset>
                      </wp:positionH>
                      <wp:positionV relativeFrom="paragraph">
                        <wp:posOffset>57785</wp:posOffset>
                      </wp:positionV>
                      <wp:extent cx="1091565" cy="495300"/>
                      <wp:effectExtent l="0" t="0" r="635" b="635"/>
                      <wp:wrapNone/>
                      <wp:docPr id="1074" name="オブジェクト 0"/>
                      <a:graphic xmlns:a="http://schemas.openxmlformats.org/drawingml/2006/main">
                        <a:graphicData uri="http://schemas.microsoft.com/office/word/2010/wordprocessingShape">
                          <wps:wsp>
                            <wps:cNvPr id="1074" name="オブジェクト 0"/>
                            <wps:cNvSpPr>
                              <a:spLocks noChangeArrowheads="1"/>
                            </wps:cNvSpPr>
                            <wps:spPr>
                              <a:xfrm>
                                <a:off x="0" y="0"/>
                                <a:ext cx="1091565" cy="495300"/>
                              </a:xfrm>
                              <a:prstGeom prst="rect">
                                <a:avLst/>
                              </a:prstGeom>
                              <a:noFill/>
                              <a:ln>
                                <a:miter/>
                              </a:ln>
                            </wps:spPr>
                            <wps:txbx>
                              <w:txbxContent>
                                <w:p>
                                  <w:pPr>
                                    <w:pStyle w:val="0"/>
                                    <w:spacing w:line="220" w:lineRule="exact"/>
                                    <w:rPr>
                                      <w:rFonts w:hint="default"/>
                                      <w:sz w:val="18"/>
                                    </w:rPr>
                                  </w:pPr>
                                  <w:r>
                                    <w:rPr>
                                      <w:rFonts w:hint="eastAsia"/>
                                      <w:sz w:val="18"/>
                                    </w:rPr>
                                    <w:t>聞いたこと</w:t>
                                  </w:r>
                                </w:p>
                                <w:p>
                                  <w:pPr>
                                    <w:pStyle w:val="0"/>
                                    <w:spacing w:line="220" w:lineRule="exact"/>
                                    <w:rPr>
                                      <w:rFonts w:hint="default"/>
                                      <w:sz w:val="18"/>
                                    </w:rPr>
                                  </w:pPr>
                                  <w:r>
                                    <w:rPr>
                                      <w:rFonts w:hint="eastAsia"/>
                                      <w:sz w:val="18"/>
                                    </w:rPr>
                                    <w:t>がない</w:t>
                                  </w:r>
                                </w:p>
                                <w:p>
                                  <w:pPr>
                                    <w:pStyle w:val="0"/>
                                    <w:spacing w:line="220" w:lineRule="exact"/>
                                    <w:ind w:firstLine="180" w:firstLineChars="100"/>
                                    <w:rPr>
                                      <w:rFonts w:hint="default"/>
                                    </w:rPr>
                                  </w:pPr>
                                  <w:r>
                                    <w:rPr>
                                      <w:rFonts w:hint="default"/>
                                      <w:sz w:val="18"/>
                                    </w:rPr>
                                    <w:t>44.2</w:t>
                                  </w:r>
                                  <w:r>
                                    <w:rPr>
                                      <w:rFonts w:hint="eastAsia"/>
                                      <w:sz w:val="18"/>
                                    </w:rPr>
                                    <w:t>％</w:t>
                                  </w:r>
                                </w:p>
                              </w:txbxContent>
                            </wps:txbx>
                            <wps:bodyPr vertOverflow="overflow" horzOverflow="overflow" lIns="74295" tIns="8890" rIns="74295" bIns="8890" anchor="ctr" upright="1"/>
                          </wps:wsp>
                        </a:graphicData>
                      </a:graphic>
                    </wp:anchor>
                  </w:drawing>
                </mc:Choice>
                <mc:Fallback>
                  <w:pict>
                    <v:rect id="オブジェクト 0" style="mso-wrap-distance-right:16pt;margin-top:4.55pt;mso-position-vertical-relative:text;mso-position-horizontal-relative:text;v-text-anchor:middle;position:absolute;height:39pt;width:85.95pt;mso-wrap-distance-left:16pt;margin-left:-5.25pt;z-index:35;" o:spid="_x0000_s1074" o:allowincell="t" o:allowoverlap="t" filled="f" stroked="f" o:spt="1">
                      <v:fill/>
                      <v:textbox style="layout-flow:horizontal;" inset="2.0637499999999998mm,0.24694444444444438mm,2.0637499999999998mm,0.24694444444444438mm">
                        <w:txbxContent>
                          <w:p>
                            <w:pPr>
                              <w:pStyle w:val="0"/>
                              <w:spacing w:line="220" w:lineRule="exact"/>
                              <w:rPr>
                                <w:rFonts w:hint="default"/>
                                <w:sz w:val="18"/>
                              </w:rPr>
                            </w:pPr>
                            <w:r>
                              <w:rPr>
                                <w:rFonts w:hint="eastAsia"/>
                                <w:sz w:val="18"/>
                              </w:rPr>
                              <w:t>聞いたこと</w:t>
                            </w:r>
                          </w:p>
                          <w:p>
                            <w:pPr>
                              <w:pStyle w:val="0"/>
                              <w:spacing w:line="220" w:lineRule="exact"/>
                              <w:rPr>
                                <w:rFonts w:hint="default"/>
                                <w:sz w:val="18"/>
                              </w:rPr>
                            </w:pPr>
                            <w:r>
                              <w:rPr>
                                <w:rFonts w:hint="eastAsia"/>
                                <w:sz w:val="18"/>
                              </w:rPr>
                              <w:t>がない</w:t>
                            </w:r>
                          </w:p>
                          <w:p>
                            <w:pPr>
                              <w:pStyle w:val="0"/>
                              <w:spacing w:line="220" w:lineRule="exact"/>
                              <w:ind w:firstLine="180" w:firstLineChars="100"/>
                              <w:rPr>
                                <w:rFonts w:hint="default"/>
                              </w:rPr>
                            </w:pPr>
                            <w:r>
                              <w:rPr>
                                <w:rFonts w:hint="default"/>
                                <w:sz w:val="18"/>
                              </w:rPr>
                              <w:t>44.2</w:t>
                            </w:r>
                            <w:r>
                              <w:rPr>
                                <w:rFonts w:hint="eastAsia"/>
                                <w:sz w:val="18"/>
                              </w:rPr>
                              <w:t>％</w:t>
                            </w:r>
                          </w:p>
                        </w:txbxContent>
                      </v:textbox>
                      <v:imagedata o:title=""/>
                      <w10:wrap type="none" anchorx="text" anchory="text"/>
                    </v:rect>
                  </w:pict>
                </mc:Fallback>
              </mc:AlternateContent>
            </w:r>
          </w:p>
          <w:p>
            <w:pPr>
              <w:pStyle w:val="0"/>
              <w:widowControl w:val="1"/>
              <w:spacing w:line="283" w:lineRule="exact"/>
              <w:jc w:val="left"/>
              <w:rPr>
                <w:rFonts w:hint="default" w:ascii="Century" w:hAnsi="Century"/>
                <w:sz w:val="21"/>
              </w:rPr>
            </w:pPr>
            <w:r>
              <w:rPr>
                <w:rFonts w:hint="eastAsia"/>
              </w:rPr>
              <mc:AlternateContent>
                <mc:Choice Requires="wps">
                  <w:drawing>
                    <wp:anchor distL="203200" distR="203200" simplePos="0" relativeHeight="36" behindDoc="0" locked="0" layoutInCell="1" hidden="0" allowOverlap="1">
                      <wp:simplePos x="0" y="0"/>
                      <wp:positionH relativeFrom="column">
                        <wp:posOffset>443865</wp:posOffset>
                      </wp:positionH>
                      <wp:positionV relativeFrom="paragraph">
                        <wp:posOffset>69215</wp:posOffset>
                      </wp:positionV>
                      <wp:extent cx="581025" cy="316865"/>
                      <wp:effectExtent l="635" t="635" r="29845" b="10795"/>
                      <wp:wrapNone/>
                      <wp:docPr id="1075" name="オブジェクト 0"/>
                      <a:graphic xmlns:a="http://schemas.openxmlformats.org/drawingml/2006/main">
                        <a:graphicData uri="http://schemas.microsoft.com/office/word/2010/wordprocessingShape">
                          <wps:wsp>
                            <wps:cNvPr id="1075" name="オブジェクト 0"/>
                            <wps:cNvSpPr/>
                            <wps:spPr>
                              <a:xfrm flipV="1">
                                <a:off x="0" y="0"/>
                                <a:ext cx="581025" cy="316865"/>
                              </a:xfrm>
                              <a:prstGeom prst="line">
                                <a:avLst/>
                              </a:prstGeom>
                              <a:solidFill>
                                <a:srgbClr val="FFFFFF"/>
                              </a:solidFill>
                              <a:ln w="9525">
                                <a:solidFill>
                                  <a:sysClr val="windowText" lastClr="000000"/>
                                </a:solidFill>
                                <a:miter/>
                              </a:ln>
                            </wps:spPr>
                            <wps:bodyPr/>
                          </wps:wsp>
                        </a:graphicData>
                      </a:graphic>
                    </wp:anchor>
                  </w:drawing>
                </mc:Choice>
                <mc:Fallback>
                  <w:pict>
                    <v:line id="オブジェクト 0" style="flip:y;mso-wrap-distance-right:16pt;mso-position-vertical-relative:text;mso-position-horizontal-relative:text;position:absolute;mso-wrap-distance-left:16pt;z-index:36;" o:spid="_x0000_s1075" o:allowincell="t" o:allowoverlap="t" filled="t" fillcolor="#ffffff" stroked="t" strokecolor="#000000" strokeweight="0.75pt" o:spt="20" from="34.950000000000003pt,5.45pt" to="80.7pt,30.4pt">
                      <v:fill/>
                      <v:stroke filltype="solid"/>
                      <v:textbox style="layout-flow:horizontal;"/>
                      <v:imagedata o:title=""/>
                      <w10:wrap type="none" anchorx="text" anchory="text"/>
                    </v:line>
                  </w:pict>
                </mc:Fallback>
              </mc:AlternateContent>
            </w:r>
          </w:p>
          <w:p>
            <w:pPr>
              <w:pStyle w:val="0"/>
              <w:widowControl w:val="1"/>
              <w:spacing w:line="283" w:lineRule="exact"/>
              <w:jc w:val="left"/>
              <w:rPr>
                <w:rFonts w:hint="default" w:ascii="Century" w:hAnsi="Century"/>
                <w:sz w:val="21"/>
              </w:rPr>
            </w:pPr>
            <w:r>
              <w:rPr>
                <w:rFonts w:hint="eastAsia"/>
              </w:rPr>
              <mc:AlternateContent>
                <mc:Choice Requires="wps">
                  <w:drawing>
                    <wp:anchor distL="203200" distR="203200" simplePos="0" relativeHeight="37" behindDoc="0" locked="0" layoutInCell="1" hidden="0" allowOverlap="1">
                      <wp:simplePos x="0" y="0"/>
                      <wp:positionH relativeFrom="column">
                        <wp:posOffset>2025015</wp:posOffset>
                      </wp:positionH>
                      <wp:positionV relativeFrom="paragraph">
                        <wp:posOffset>136525</wp:posOffset>
                      </wp:positionV>
                      <wp:extent cx="1063625" cy="704215"/>
                      <wp:effectExtent l="0" t="0" r="635" b="635"/>
                      <wp:wrapNone/>
                      <wp:docPr id="1076" name="オブジェクト 0"/>
                      <a:graphic xmlns:a="http://schemas.openxmlformats.org/drawingml/2006/main">
                        <a:graphicData uri="http://schemas.microsoft.com/office/word/2010/wordprocessingShape">
                          <wps:wsp>
                            <wps:cNvPr id="1076" name="オブジェクト 0"/>
                            <wps:cNvSpPr>
                              <a:spLocks noChangeArrowheads="1"/>
                            </wps:cNvSpPr>
                            <wps:spPr>
                              <a:xfrm>
                                <a:off x="0" y="0"/>
                                <a:ext cx="1063625" cy="704215"/>
                              </a:xfrm>
                              <a:prstGeom prst="rect">
                                <a:avLst/>
                              </a:prstGeom>
                              <a:noFill/>
                              <a:ln>
                                <a:miter/>
                              </a:ln>
                            </wps:spPr>
                            <wps:txbx>
                              <w:txbxContent>
                                <w:p>
                                  <w:pPr>
                                    <w:pStyle w:val="0"/>
                                    <w:spacing w:line="220" w:lineRule="exact"/>
                                    <w:rPr>
                                      <w:rFonts w:hint="default"/>
                                      <w:sz w:val="18"/>
                                    </w:rPr>
                                  </w:pPr>
                                  <w:r>
                                    <w:rPr>
                                      <w:rFonts w:hint="eastAsia"/>
                                      <w:sz w:val="18"/>
                                    </w:rPr>
                                    <w:t>言葉を聞いたこと</w:t>
                                  </w:r>
                                </w:p>
                                <w:p>
                                  <w:pPr>
                                    <w:pStyle w:val="0"/>
                                    <w:spacing w:line="220" w:lineRule="exact"/>
                                    <w:rPr>
                                      <w:rFonts w:hint="default"/>
                                      <w:sz w:val="18"/>
                                    </w:rPr>
                                  </w:pPr>
                                  <w:r>
                                    <w:rPr>
                                      <w:rFonts w:hint="eastAsia"/>
                                      <w:sz w:val="18"/>
                                    </w:rPr>
                                    <w:t>がある　</w:t>
                                  </w:r>
                                </w:p>
                                <w:p>
                                  <w:pPr>
                                    <w:pStyle w:val="0"/>
                                    <w:spacing w:line="220" w:lineRule="exact"/>
                                    <w:ind w:firstLine="360" w:firstLineChars="200"/>
                                    <w:rPr>
                                      <w:rFonts w:hint="default"/>
                                      <w:sz w:val="18"/>
                                    </w:rPr>
                                  </w:pPr>
                                  <w:r>
                                    <w:rPr>
                                      <w:rFonts w:hint="eastAsia"/>
                                      <w:sz w:val="18"/>
                                    </w:rPr>
                                    <w:t>32.3</w:t>
                                  </w:r>
                                  <w:r>
                                    <w:rPr>
                                      <w:rFonts w:hint="eastAsia"/>
                                      <w:sz w:val="18"/>
                                    </w:rPr>
                                    <w:t>％</w:t>
                                  </w:r>
                                </w:p>
                              </w:txbxContent>
                            </wps:txbx>
                            <wps:bodyPr vertOverflow="overflow" horzOverflow="overflow" lIns="74295" tIns="8890" rIns="74295" bIns="8890" anchor="ctr" upright="1"/>
                          </wps:wsp>
                        </a:graphicData>
                      </a:graphic>
                    </wp:anchor>
                  </w:drawing>
                </mc:Choice>
                <mc:Fallback>
                  <w:pict>
                    <v:rect id="オブジェクト 0" style="mso-wrap-distance-right:16pt;margin-top:10.75pt;mso-position-vertical-relative:text;mso-position-horizontal-relative:text;v-text-anchor:middle;position:absolute;height:55.45pt;width:83.75pt;mso-wrap-distance-left:16pt;margin-left:159.44pt;z-index:37;" o:spid="_x0000_s1076" o:allowincell="t" o:allowoverlap="t" filled="f" stroked="f" o:spt="1">
                      <v:fill/>
                      <v:textbox style="layout-flow:horizontal;" inset="2.0637499999999998mm,0.24694444444444438mm,2.0637499999999998mm,0.24694444444444438mm">
                        <w:txbxContent>
                          <w:p>
                            <w:pPr>
                              <w:pStyle w:val="0"/>
                              <w:spacing w:line="220" w:lineRule="exact"/>
                              <w:rPr>
                                <w:rFonts w:hint="default"/>
                                <w:sz w:val="18"/>
                              </w:rPr>
                            </w:pPr>
                            <w:r>
                              <w:rPr>
                                <w:rFonts w:hint="eastAsia"/>
                                <w:sz w:val="18"/>
                              </w:rPr>
                              <w:t>言葉を聞いたこと</w:t>
                            </w:r>
                          </w:p>
                          <w:p>
                            <w:pPr>
                              <w:pStyle w:val="0"/>
                              <w:spacing w:line="220" w:lineRule="exact"/>
                              <w:rPr>
                                <w:rFonts w:hint="default"/>
                                <w:sz w:val="18"/>
                              </w:rPr>
                            </w:pPr>
                            <w:r>
                              <w:rPr>
                                <w:rFonts w:hint="eastAsia"/>
                                <w:sz w:val="18"/>
                              </w:rPr>
                              <w:t>がある　</w:t>
                            </w:r>
                          </w:p>
                          <w:p>
                            <w:pPr>
                              <w:pStyle w:val="0"/>
                              <w:spacing w:line="220" w:lineRule="exact"/>
                              <w:ind w:firstLine="360" w:firstLineChars="200"/>
                              <w:rPr>
                                <w:rFonts w:hint="default"/>
                                <w:sz w:val="18"/>
                              </w:rPr>
                            </w:pPr>
                            <w:r>
                              <w:rPr>
                                <w:rFonts w:hint="eastAsia"/>
                                <w:sz w:val="18"/>
                              </w:rPr>
                              <w:t>32.3</w:t>
                            </w:r>
                            <w:r>
                              <w:rPr>
                                <w:rFonts w:hint="eastAsia"/>
                                <w:sz w:val="18"/>
                              </w:rPr>
                              <w:t>％</w:t>
                            </w:r>
                          </w:p>
                        </w:txbxContent>
                      </v:textbox>
                      <v:imagedata o:title=""/>
                      <w10:wrap type="none" anchorx="text" anchory="text"/>
                    </v:rect>
                  </w:pict>
                </mc:Fallback>
              </mc:AlternateContent>
            </w:r>
          </w:p>
          <w:p>
            <w:pPr>
              <w:pStyle w:val="0"/>
              <w:widowControl w:val="1"/>
              <w:spacing w:line="283" w:lineRule="exact"/>
              <w:jc w:val="left"/>
              <w:rPr>
                <w:rFonts w:hint="default" w:ascii="Century" w:hAnsi="Century"/>
                <w:sz w:val="21"/>
              </w:rPr>
            </w:pPr>
            <w:r>
              <w:rPr>
                <w:rFonts w:hint="eastAsia"/>
              </w:rPr>
              <mc:AlternateContent>
                <mc:Choice Requires="wps">
                  <w:drawing>
                    <wp:anchor distL="203200" distR="203200" simplePos="0" relativeHeight="38" behindDoc="0" locked="0" layoutInCell="1" hidden="0" allowOverlap="1">
                      <wp:simplePos x="0" y="0"/>
                      <wp:positionH relativeFrom="column">
                        <wp:posOffset>1596390</wp:posOffset>
                      </wp:positionH>
                      <wp:positionV relativeFrom="paragraph">
                        <wp:posOffset>71120</wp:posOffset>
                      </wp:positionV>
                      <wp:extent cx="428625" cy="92075"/>
                      <wp:effectExtent l="635" t="635" r="29845" b="10795"/>
                      <wp:wrapNone/>
                      <wp:docPr id="1077" name="オブジェクト 0"/>
                      <a:graphic xmlns:a="http://schemas.openxmlformats.org/drawingml/2006/main">
                        <a:graphicData uri="http://schemas.microsoft.com/office/word/2010/wordprocessingShape">
                          <wps:wsp>
                            <wps:cNvPr id="1077" name="オブジェクト 0"/>
                            <wps:cNvSpPr/>
                            <wps:spPr>
                              <a:xfrm>
                                <a:off x="0" y="0"/>
                                <a:ext cx="428625" cy="92075"/>
                              </a:xfrm>
                              <a:prstGeom prst="line">
                                <a:avLst/>
                              </a:prstGeom>
                              <a:solidFill>
                                <a:srgbClr val="FFFFFF"/>
                              </a:solidFill>
                              <a:ln w="9525">
                                <a:solidFill>
                                  <a:sysClr val="windowText" lastClr="000000"/>
                                </a:solidFill>
                                <a:miter/>
                              </a:ln>
                            </wps:spPr>
                            <wps:bodyPr/>
                          </wps:wsp>
                        </a:graphicData>
                      </a:graphic>
                    </wp:anchor>
                  </w:drawing>
                </mc:Choice>
                <mc:Fallback>
                  <w:pict>
                    <v:line id="オブジェクト 0" style="mso-wrap-distance-right:16pt;mso-position-vertical-relative:text;mso-position-horizontal-relative:text;position:absolute;mso-wrap-distance-left:16pt;z-index:38;" o:spid="_x0000_s1077" o:allowincell="t" o:allowoverlap="t" filled="t" fillcolor="#ffffff" stroked="t" strokecolor="#000000" strokeweight="0.75pt" o:spt="20" from="125.7pt,5.6pt" to="159.45000000000002pt,12.850000000000001pt">
                      <v:fill/>
                      <v:stroke filltype="solid"/>
                      <v:textbox style="layout-flow:horizontal;"/>
                      <v:imagedata o:title=""/>
                      <w10:wrap type="none" anchorx="text" anchory="text"/>
                    </v:line>
                  </w:pict>
                </mc:Fallback>
              </mc:AlternateContent>
            </w:r>
          </w:p>
          <w:p>
            <w:pPr>
              <w:pStyle w:val="0"/>
              <w:widowControl w:val="1"/>
              <w:spacing w:line="283" w:lineRule="exact"/>
              <w:jc w:val="left"/>
              <w:rPr>
                <w:rFonts w:hint="default" w:ascii="Century" w:hAnsi="Century"/>
                <w:sz w:val="21"/>
              </w:rPr>
            </w:pPr>
            <w:r>
              <w:rPr>
                <w:rFonts w:hint="eastAsia" w:ascii="Century" w:hAnsi="Century"/>
                <w:sz w:val="21"/>
              </w:rPr>
              <w:t>　　　　　　　　　　　　　</w:t>
            </w:r>
          </w:p>
          <w:p>
            <w:pPr>
              <w:pStyle w:val="0"/>
              <w:widowControl w:val="1"/>
              <w:spacing w:line="283" w:lineRule="exact"/>
              <w:jc w:val="left"/>
              <w:rPr>
                <w:rFonts w:hint="default" w:ascii="Century" w:hAnsi="Century"/>
                <w:sz w:val="21"/>
              </w:rPr>
            </w:pPr>
            <w:r>
              <w:rPr>
                <w:rFonts w:hint="eastAsia" w:ascii="Century" w:hAnsi="Century"/>
                <w:sz w:val="21"/>
              </w:rPr>
              <w:t>　</w:t>
            </w:r>
            <w:r>
              <w:rPr>
                <w:rFonts w:hint="default" w:ascii="Century" w:hAnsi="Century"/>
                <w:sz w:val="21"/>
              </w:rPr>
              <w:drawing>
                <wp:inline distT="0" distB="0" distL="0" distR="0">
                  <wp:extent cx="2331720" cy="1592580"/>
                  <wp:effectExtent l="0" t="0" r="0" b="0"/>
                  <wp:docPr id="1078" name="オブジェクト 0"/>
                  <a:graphic xmlns:a="http://schemas.openxmlformats.org/drawingml/2006/main">
                    <a:graphicData uri="http://schemas.openxmlformats.org/drawingml/2006/picture">
                      <pic:pic xmlns:pic="http://schemas.openxmlformats.org/drawingml/2006/picture">
                        <pic:nvPicPr>
                          <pic:cNvPr id="1078" name="オブジェクト 0"/>
                          <pic:cNvPicPr>
                            <a:picLocks noChangeAspect="1" noChangeArrowheads="1"/>
                          </pic:cNvPicPr>
                        </pic:nvPicPr>
                        <pic:blipFill>
                          <a:blip r:embed="rId24"/>
                          <a:stretch>
                            <a:fillRect/>
                          </a:stretch>
                        </pic:blipFill>
                        <pic:spPr>
                          <a:xfrm>
                            <a:off x="0" y="0"/>
                            <a:ext cx="2331720" cy="1592580"/>
                          </a:xfrm>
                          <a:prstGeom prst="rect">
                            <a:avLst/>
                          </a:prstGeom>
                          <a:noFill/>
                          <a:ln>
                            <a:noFill/>
                          </a:ln>
                        </pic:spPr>
                      </pic:pic>
                    </a:graphicData>
                  </a:graphic>
                </wp:inline>
              </w:drawing>
            </w:r>
          </w:p>
        </w:tc>
        <w:tc>
          <w:tcPr>
            <w:tcW w:w="4942" w:type="dxa"/>
            <w:tcBorders>
              <w:top w:val="none" w:color="auto" w:sz="0" w:space="0"/>
              <w:left w:val="none" w:color="auto" w:sz="0" w:space="0"/>
              <w:bottom w:val="none" w:color="auto" w:sz="0" w:space="0"/>
              <w:right w:val="none" w:color="auto" w:sz="0" w:space="0"/>
              <w:tl2br w:val="nil"/>
              <w:tr2bl w:val="nil"/>
            </w:tcBorders>
            <w:vAlign w:val="top"/>
          </w:tcPr>
          <w:p>
            <w:pPr>
              <w:pStyle w:val="0"/>
              <w:widowControl w:val="1"/>
              <w:spacing w:line="283" w:lineRule="exact"/>
              <w:ind w:firstLine="600" w:firstLineChars="300"/>
              <w:jc w:val="left"/>
              <w:rPr>
                <w:rFonts w:hint="default" w:ascii="ＭＳ Ｐゴシック" w:hAnsi="ＭＳ Ｐゴシック" w:eastAsia="ＭＳ Ｐゴシック"/>
                <w:sz w:val="20"/>
              </w:rPr>
            </w:pPr>
            <w:r>
              <w:rPr>
                <w:rFonts w:hint="eastAsia" w:ascii="ＭＳ Ｐ明朝" w:hAnsi="ＭＳ Ｐ明朝" w:eastAsia="ＭＳ Ｐ明朝"/>
                <w:sz w:val="20"/>
              </w:rPr>
              <w:t>障害者差別解消法の改正内容（</w:t>
            </w:r>
            <w:r>
              <w:rPr>
                <w:rFonts w:hint="eastAsia" w:ascii="ＭＳ Ｐ明朝" w:hAnsi="ＭＳ Ｐ明朝" w:eastAsia="ＭＳ Ｐ明朝"/>
                <w:sz w:val="20"/>
              </w:rPr>
              <w:t>R</w:t>
            </w:r>
            <w:r>
              <w:rPr>
                <w:rFonts w:hint="eastAsia" w:ascii="ＭＳ Ｐ明朝" w:hAnsi="ＭＳ Ｐ明朝" w:eastAsia="ＭＳ Ｐ明朝"/>
                <w:sz w:val="20"/>
              </w:rPr>
              <w:t>３</w:t>
            </w:r>
            <w:r>
              <w:rPr>
                <w:rFonts w:hint="eastAsia" w:ascii="ＭＳ Ｐ明朝" w:hAnsi="ＭＳ Ｐ明朝" w:eastAsia="ＭＳ Ｐ明朝"/>
                <w:sz w:val="20"/>
              </w:rPr>
              <w:t>.</w:t>
            </w:r>
            <w:r>
              <w:rPr>
                <w:rFonts w:hint="eastAsia" w:ascii="ＭＳ Ｐ明朝" w:hAnsi="ＭＳ Ｐ明朝" w:eastAsia="ＭＳ Ｐ明朝"/>
                <w:sz w:val="20"/>
              </w:rPr>
              <w:t>６）</w:t>
            </w:r>
          </w:p>
          <w:tbl>
            <w:tblPr>
              <w:tblStyle w:val="11"/>
              <w:tblW w:w="0" w:type="auto"/>
              <w:tblInd w:w="0" w:type="dxa"/>
              <w:tblBorders>
                <w:top w:val="single" w:color="auto" w:sz="4" w:space="0"/>
                <w:left w:val="single" w:color="auto" w:sz="4" w:space="0"/>
                <w:bottom w:val="single" w:color="auto" w:sz="4" w:space="0"/>
                <w:right w:val="single" w:color="auto" w:sz="4" w:space="0"/>
              </w:tblBorders>
              <w:tblLayout w:type="fixed"/>
              <w:tblLook w:firstRow="1" w:lastRow="0" w:firstColumn="1" w:lastColumn="0" w:noHBand="0" w:noVBand="0" w:val="00A0"/>
            </w:tblPr>
            <w:tblGrid>
              <w:gridCol w:w="1520"/>
              <w:gridCol w:w="1520"/>
              <w:gridCol w:w="1520"/>
            </w:tblGrid>
            <w:tr>
              <w:trPr/>
              <w:tc>
                <w:tcPr>
                  <w:tcW w:w="15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spacing w:line="283" w:lineRule="exact"/>
                    <w:jc w:val="left"/>
                    <w:rPr>
                      <w:rFonts w:hint="default" w:ascii="Century" w:hAnsi="Century"/>
                      <w:sz w:val="21"/>
                    </w:rPr>
                  </w:pPr>
                </w:p>
              </w:tc>
              <w:tc>
                <w:tcPr>
                  <w:tcW w:w="15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83" w:lineRule="exact"/>
                    <w:jc w:val="center"/>
                    <w:rPr>
                      <w:rFonts w:hint="default" w:ascii="Century" w:hAnsi="Century"/>
                      <w:sz w:val="20"/>
                    </w:rPr>
                  </w:pPr>
                  <w:r>
                    <w:rPr>
                      <w:rFonts w:hint="eastAsia" w:ascii="Century" w:hAnsi="Century"/>
                      <w:sz w:val="20"/>
                    </w:rPr>
                    <w:t>国・地方</w:t>
                  </w:r>
                </w:p>
                <w:p>
                  <w:pPr>
                    <w:pStyle w:val="0"/>
                    <w:widowControl w:val="1"/>
                    <w:spacing w:line="283" w:lineRule="exact"/>
                    <w:jc w:val="center"/>
                    <w:rPr>
                      <w:rFonts w:hint="default" w:ascii="Century" w:hAnsi="Century"/>
                      <w:sz w:val="20"/>
                    </w:rPr>
                  </w:pPr>
                  <w:r>
                    <w:rPr>
                      <w:rFonts w:hint="eastAsia" w:ascii="Century" w:hAnsi="Century"/>
                      <w:sz w:val="20"/>
                    </w:rPr>
                    <w:t>公共団体</w:t>
                  </w:r>
                </w:p>
              </w:tc>
              <w:tc>
                <w:tcPr>
                  <w:tcW w:w="15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83" w:lineRule="exact"/>
                    <w:jc w:val="center"/>
                    <w:rPr>
                      <w:rFonts w:hint="default" w:ascii="Century" w:hAnsi="Century"/>
                      <w:sz w:val="20"/>
                    </w:rPr>
                  </w:pPr>
                  <w:r>
                    <w:rPr>
                      <w:rFonts w:hint="eastAsia" w:ascii="Century" w:hAnsi="Century"/>
                      <w:sz w:val="20"/>
                    </w:rPr>
                    <w:t>民間事業者</w:t>
                  </w:r>
                </w:p>
              </w:tc>
            </w:tr>
            <w:tr>
              <w:trPr/>
              <w:tc>
                <w:tcPr>
                  <w:tcW w:w="15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spacing w:line="283" w:lineRule="exact"/>
                    <w:jc w:val="left"/>
                    <w:rPr>
                      <w:rFonts w:hint="default" w:ascii="Century" w:hAnsi="Century"/>
                      <w:sz w:val="20"/>
                    </w:rPr>
                  </w:pPr>
                  <w:r>
                    <w:rPr>
                      <w:rFonts w:hint="eastAsia" w:ascii="Century" w:hAnsi="Century"/>
                      <w:sz w:val="20"/>
                    </w:rPr>
                    <w:t>不当な差別的</w:t>
                  </w:r>
                </w:p>
                <w:p>
                  <w:pPr>
                    <w:pStyle w:val="0"/>
                    <w:widowControl w:val="1"/>
                    <w:spacing w:line="283" w:lineRule="exact"/>
                    <w:jc w:val="left"/>
                    <w:rPr>
                      <w:rFonts w:hint="default" w:ascii="Century" w:hAnsi="Century"/>
                      <w:sz w:val="20"/>
                    </w:rPr>
                  </w:pPr>
                  <w:r>
                    <w:rPr>
                      <w:rFonts w:hint="eastAsia" w:ascii="Century" w:hAnsi="Century"/>
                      <w:sz w:val="20"/>
                    </w:rPr>
                    <w:t>取扱い</w:t>
                  </w:r>
                </w:p>
              </w:tc>
              <w:tc>
                <w:tcPr>
                  <w:tcW w:w="15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83" w:lineRule="exact"/>
                    <w:jc w:val="center"/>
                    <w:rPr>
                      <w:rFonts w:hint="default" w:ascii="Century" w:hAnsi="Century"/>
                      <w:sz w:val="20"/>
                    </w:rPr>
                  </w:pPr>
                  <w:r>
                    <w:rPr>
                      <w:rFonts w:hint="eastAsia" w:ascii="Century" w:hAnsi="Century"/>
                      <w:sz w:val="20"/>
                    </w:rPr>
                    <w:t>禁止</w:t>
                  </w:r>
                </w:p>
              </w:tc>
              <w:tc>
                <w:tcPr>
                  <w:tcW w:w="15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83" w:lineRule="exact"/>
                    <w:jc w:val="center"/>
                    <w:rPr>
                      <w:rFonts w:hint="default" w:ascii="Century" w:hAnsi="Century"/>
                      <w:sz w:val="20"/>
                    </w:rPr>
                  </w:pPr>
                  <w:r>
                    <w:rPr>
                      <w:rFonts w:hint="eastAsia" w:ascii="Century" w:hAnsi="Century"/>
                      <w:sz w:val="20"/>
                    </w:rPr>
                    <w:t>禁止</w:t>
                  </w:r>
                </w:p>
              </w:tc>
            </w:tr>
            <w:tr>
              <w:trPr/>
              <w:tc>
                <w:tcPr>
                  <w:tcW w:w="15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spacing w:line="283" w:lineRule="exact"/>
                    <w:jc w:val="left"/>
                    <w:rPr>
                      <w:rFonts w:hint="default" w:ascii="Century" w:hAnsi="Century"/>
                      <w:sz w:val="20"/>
                    </w:rPr>
                  </w:pPr>
                  <w:r>
                    <w:rPr>
                      <w:rFonts w:hint="eastAsia" w:ascii="Century" w:hAnsi="Century"/>
                      <w:sz w:val="20"/>
                    </w:rPr>
                    <w:t>合理的配慮の</w:t>
                  </w:r>
                </w:p>
                <w:p>
                  <w:pPr>
                    <w:pStyle w:val="0"/>
                    <w:widowControl w:val="1"/>
                    <w:spacing w:line="283" w:lineRule="exact"/>
                    <w:jc w:val="left"/>
                    <w:rPr>
                      <w:rFonts w:hint="default" w:ascii="Century" w:hAnsi="Century"/>
                      <w:sz w:val="20"/>
                    </w:rPr>
                  </w:pPr>
                  <w:r>
                    <w:rPr>
                      <w:rFonts w:hint="eastAsia" w:ascii="Century" w:hAnsi="Century"/>
                      <w:sz w:val="20"/>
                    </w:rPr>
                    <w:t>提供</w:t>
                  </w:r>
                </w:p>
              </w:tc>
              <w:tc>
                <w:tcPr>
                  <w:tcW w:w="15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83" w:lineRule="exact"/>
                    <w:jc w:val="center"/>
                    <w:rPr>
                      <w:rFonts w:hint="default" w:ascii="Century" w:hAnsi="Century"/>
                      <w:sz w:val="20"/>
                    </w:rPr>
                  </w:pPr>
                  <w:r>
                    <w:rPr>
                      <w:rFonts w:hint="eastAsia" w:ascii="Century" w:hAnsi="Century"/>
                      <w:sz w:val="20"/>
                    </w:rPr>
                    <w:t>義務</w:t>
                  </w:r>
                </w:p>
              </w:tc>
              <w:tc>
                <w:tcPr>
                  <w:tcW w:w="15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283" w:lineRule="exact"/>
                    <w:jc w:val="center"/>
                    <w:rPr>
                      <w:rFonts w:hint="default" w:ascii="Century" w:hAnsi="Century"/>
                      <w:sz w:val="20"/>
                    </w:rPr>
                  </w:pPr>
                  <w:r>
                    <w:rPr>
                      <w:rFonts w:hint="eastAsia" w:ascii="Century" w:hAnsi="Century"/>
                      <w:sz w:val="20"/>
                    </w:rPr>
                    <w:t>努力義務</w:t>
                  </w:r>
                </w:p>
              </w:tc>
            </w:tr>
          </w:tbl>
          <w:p>
            <w:pPr>
              <w:pStyle w:val="0"/>
              <w:widowControl w:val="1"/>
              <w:spacing w:line="283" w:lineRule="exact"/>
              <w:jc w:val="left"/>
              <w:rPr>
                <w:rFonts w:hint="default" w:ascii="Century" w:hAnsi="Century"/>
                <w:sz w:val="21"/>
              </w:rPr>
            </w:pPr>
            <w:r>
              <w:rPr>
                <w:rFonts w:hint="eastAsia"/>
              </w:rPr>
              <mc:AlternateContent>
                <mc:Choice Requires="wps">
                  <w:drawing>
                    <wp:anchor distL="203200" distR="203200" simplePos="0" relativeHeight="39" behindDoc="0" locked="0" layoutInCell="1" hidden="0" allowOverlap="1">
                      <wp:simplePos x="0" y="0"/>
                      <wp:positionH relativeFrom="column">
                        <wp:posOffset>2070735</wp:posOffset>
                      </wp:positionH>
                      <wp:positionV relativeFrom="paragraph">
                        <wp:posOffset>18415</wp:posOffset>
                      </wp:positionV>
                      <wp:extent cx="561975" cy="203200"/>
                      <wp:effectExtent l="2540" t="635" r="31750" b="10795"/>
                      <wp:wrapNone/>
                      <wp:docPr id="1079" name="オブジェクト 0"/>
                      <a:graphic xmlns:a="http://schemas.openxmlformats.org/drawingml/2006/main">
                        <a:graphicData uri="http://schemas.microsoft.com/office/word/2010/wordprocessingShape">
                          <wps:wsp>
                            <wps:cNvPr id="1079" name="オブジェクト 0"/>
                            <wps:cNvSpPr>
                              <a:spLocks noChangeArrowheads="1"/>
                            </wps:cNvSpPr>
                            <wps:spPr>
                              <a:xfrm>
                                <a:off x="0" y="0"/>
                                <a:ext cx="561975" cy="203200"/>
                              </a:xfrm>
                              <a:prstGeom prst="downArrow">
                                <a:avLst>
                                  <a:gd name="adj1" fmla="val 50000"/>
                                  <a:gd name="adj2" fmla="val 25000"/>
                                </a:avLst>
                              </a:prstGeom>
                              <a:solidFill>
                                <a:srgbClr val="FFFFFF"/>
                              </a:solidFill>
                              <a:ln w="9525">
                                <a:solidFill>
                                  <a:sysClr val="windowText" lastClr="000000"/>
                                </a:solidFill>
                                <a:miter/>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argin-top:1.45pt;mso-position-vertical-relative:text;mso-position-horizontal-relative:text;position:absolute;height:16pt;width:44.25pt;mso-wrap-distance-left:16pt;margin-left:163.05000000000001pt;z-index:39;" o:spid="_x0000_s1079" o:allowincell="t" o:allowoverlap="t" filled="t" fillcolor="#ffffff" stroked="t" strokecolor="#000000" strokeweight="0.75pt" o:spt="67" type="#_x0000_t67" adj="16200,5400">
                      <v:fill/>
                      <v:stroke filltype="solid"/>
                      <v:textbox style="layout-flow:horizontal;"/>
                      <v:imagedata o:title=""/>
                      <w10:wrap type="none" anchorx="text" anchory="text"/>
                    </v:shape>
                  </w:pict>
                </mc:Fallback>
              </mc:AlternateContent>
            </w:r>
            <w:r>
              <w:rPr>
                <w:rFonts w:hint="eastAsia" w:ascii="Century" w:hAnsi="Century"/>
                <w:sz w:val="21"/>
              </w:rPr>
              <w:t>　　　　　　　　　　　　　　　</w:t>
            </w:r>
          </w:p>
          <w:p>
            <w:pPr>
              <w:pStyle w:val="0"/>
              <w:widowControl w:val="1"/>
              <w:spacing w:line="283" w:lineRule="exact"/>
              <w:jc w:val="left"/>
              <w:rPr>
                <w:rFonts w:hint="default" w:ascii="Century" w:hAnsi="Century"/>
                <w:sz w:val="21"/>
              </w:rPr>
            </w:pPr>
            <w:r>
              <w:rPr>
                <w:rFonts w:hint="eastAsia"/>
              </w:rPr>
              <mc:AlternateContent>
                <mc:Choice Requires="wps">
                  <w:drawing>
                    <wp:anchor distL="203200" distR="203200" simplePos="0" relativeHeight="40" behindDoc="0" locked="0" layoutInCell="1" hidden="0" allowOverlap="1">
                      <wp:simplePos x="0" y="0"/>
                      <wp:positionH relativeFrom="column">
                        <wp:posOffset>2000250</wp:posOffset>
                      </wp:positionH>
                      <wp:positionV relativeFrom="paragraph">
                        <wp:posOffset>114935</wp:posOffset>
                      </wp:positionV>
                      <wp:extent cx="720090" cy="323850"/>
                      <wp:effectExtent l="635" t="635" r="29845" b="10795"/>
                      <wp:wrapNone/>
                      <wp:docPr id="1080" name="オブジェクト 0"/>
                      <a:graphic xmlns:a="http://schemas.openxmlformats.org/drawingml/2006/main">
                        <a:graphicData uri="http://schemas.microsoft.com/office/word/2010/wordprocessingShape">
                          <wps:wsp>
                            <wps:cNvPr id="1080" name="オブジェクト 0"/>
                            <wps:cNvSpPr>
                              <a:spLocks noChangeArrowheads="1"/>
                            </wps:cNvSpPr>
                            <wps:spPr>
                              <a:xfrm>
                                <a:off x="0" y="0"/>
                                <a:ext cx="720090" cy="323850"/>
                              </a:xfrm>
                              <a:prstGeom prst="roundRect">
                                <a:avLst>
                                  <a:gd name="adj" fmla="val 16669"/>
                                </a:avLst>
                              </a:prstGeom>
                              <a:noFill/>
                              <a:ln w="19050">
                                <a:solidFill>
                                  <a:sysClr val="windowText" lastClr="000000"/>
                                </a:solidFill>
                              </a:ln>
                            </wps:spPr>
                            <wps:txbx>
                              <w:txbxContent>
                                <w:p>
                                  <w:pPr>
                                    <w:pStyle w:val="0"/>
                                    <w:jc w:val="center"/>
                                    <w:rPr>
                                      <w:rFonts w:hint="default"/>
                                    </w:rPr>
                                  </w:pPr>
                                  <w:r>
                                    <w:rPr>
                                      <w:rFonts w:hint="eastAsia" w:ascii="ＭＳ Ｐ明朝" w:hAnsi="ＭＳ Ｐ明朝" w:eastAsia="ＭＳ Ｐ明朝"/>
                                      <w:sz w:val="20"/>
                                    </w:rPr>
                                    <w:t>義　務</w:t>
                                  </w:r>
                                </w:p>
                              </w:txbxContent>
                            </wps:txbx>
                            <wps:bodyPr vertOverflow="overflow" horzOverflow="overflow" lIns="74295" tIns="8890" rIns="74295" bIns="8890" anchor="t" upright="1"/>
                          </wps:wsp>
                        </a:graphicData>
                      </a:graphic>
                    </wp:anchor>
                  </w:drawing>
                </mc:Choice>
                <mc:Fallback>
                  <w:pict>
                    <v:roundrect id="オブジェクト 0" style="mso-wrap-distance-right:16pt;margin-top:9.0500000000000007pt;mso-position-vertical-relative:text;mso-position-horizontal-relative:text;v-text-anchor:top;position:absolute;height:25.5pt;width:56.7pt;mso-wrap-distance-left:16pt;margin-left:157.5pt;z-index:40;" o:spid="_x0000_s1080" o:allowincell="t" o:allowoverlap="t" filled="f" stroked="t" strokecolor="#000000" strokeweight="1.5pt" o:spt="2" arcsize="10926f">
                      <v:fill/>
                      <v:stroke filltype="solid"/>
                      <v:textbox style="layout-flow:horizontal;" inset="2.0637499999999998mm,0.24694444444444438mm,2.0637499999999998mm,0.24694444444444438mm">
                        <w:txbxContent>
                          <w:p>
                            <w:pPr>
                              <w:pStyle w:val="0"/>
                              <w:jc w:val="center"/>
                              <w:rPr>
                                <w:rFonts w:hint="default"/>
                              </w:rPr>
                            </w:pPr>
                            <w:r>
                              <w:rPr>
                                <w:rFonts w:hint="eastAsia" w:ascii="ＭＳ Ｐ明朝" w:hAnsi="ＭＳ Ｐ明朝" w:eastAsia="ＭＳ Ｐ明朝"/>
                                <w:sz w:val="20"/>
                              </w:rPr>
                              <w:t>義　務</w:t>
                            </w:r>
                          </w:p>
                        </w:txbxContent>
                      </v:textbox>
                      <v:imagedata o:title=""/>
                      <w10:wrap type="none" anchorx="text" anchory="text"/>
                    </v:roundrect>
                  </w:pict>
                </mc:Fallback>
              </mc:AlternateContent>
            </w:r>
            <w:r>
              <w:rPr>
                <w:rFonts w:hint="eastAsia"/>
              </w:rPr>
              <mc:AlternateContent>
                <mc:Choice Requires="wps">
                  <w:drawing>
                    <wp:anchor simplePos="0" relativeHeight="41" behindDoc="0" locked="1" layoutInCell="1" hidden="0" allowOverlap="1">
                      <wp:simplePos x="0" y="0"/>
                      <wp:positionH relativeFrom="column">
                        <wp:posOffset>1941195</wp:posOffset>
                      </wp:positionH>
                      <wp:positionV relativeFrom="paragraph">
                        <wp:posOffset>-534035</wp:posOffset>
                      </wp:positionV>
                      <wp:extent cx="914400" cy="342900"/>
                      <wp:effectExtent l="635" t="635" r="29845" b="10795"/>
                      <wp:wrapNone/>
                      <wp:docPr id="1081" name="オブジェクト 0"/>
                      <a:graphic xmlns:a="http://schemas.openxmlformats.org/drawingml/2006/main">
                        <a:graphicData uri="http://schemas.microsoft.com/office/word/2010/wordprocessingShape">
                          <wps:wsp>
                            <wps:cNvPr id="1081" name="オブジェクト 0"/>
                            <wps:cNvSpPr>
                              <a:spLocks noChangeArrowheads="1"/>
                            </wps:cNvSpPr>
                            <wps:spPr>
                              <a:xfrm>
                                <a:off x="0" y="0"/>
                                <a:ext cx="914400" cy="342900"/>
                              </a:xfrm>
                              <a:prstGeom prst="ellipse">
                                <a:avLst/>
                              </a:prstGeom>
                              <a:noFill/>
                              <a:ln w="19050">
                                <a:solidFill>
                                  <a:sysClr val="windowText" lastClr="000000"/>
                                </a:solidFill>
                              </a:ln>
                            </wps:spPr>
                            <wps:bodyPr/>
                          </wps:wsp>
                        </a:graphicData>
                      </a:graphic>
                    </wp:anchor>
                  </w:drawing>
                </mc:Choice>
                <mc:Fallback>
                  <w:pict>
                    <v:oval id="オブジェクト 0" style="margin-top:-42.05pt;mso-position-vertical-relative:text;mso-position-horizontal-relative:text;position:absolute;height:27pt;width:72pt;margin-left:152.85pt;z-index:41;" o:spid="_x0000_s1081" o:allowincell="t" o:allowoverlap="t" filled="f" stroked="t" strokecolor="#000000" strokeweight="1.5pt" o:spt="3">
                      <v:fill/>
                      <v:stroke filltype="solid"/>
                      <v:textbox style="layout-flow:horizontal;"/>
                      <v:imagedata o:title=""/>
                      <w10:wrap type="none" anchorx="text" anchory="text"/>
                      <w10:anchorlock/>
                    </v:oval>
                  </w:pict>
                </mc:Fallback>
              </mc:AlternateContent>
            </w:r>
            <w:r>
              <w:rPr>
                <w:rFonts w:hint="eastAsia" w:ascii="Century" w:hAnsi="Century"/>
                <w:sz w:val="21"/>
              </w:rPr>
              <w:t>　　　　　　　　　　　　　</w:t>
            </w:r>
          </w:p>
        </w:tc>
      </w:tr>
    </w:tbl>
    <w:p>
      <w:pPr>
        <w:pStyle w:val="0"/>
        <w:widowControl w:val="1"/>
        <w:spacing w:line="240" w:lineRule="auto"/>
        <w:ind w:left="240" w:leftChars="100"/>
        <w:jc w:val="left"/>
        <w:rPr>
          <w:rFonts w:hint="default"/>
        </w:rPr>
      </w:pPr>
      <w:r>
        <w:rPr>
          <w:rFonts w:hint="eastAsia"/>
        </w:rPr>
        <mc:AlternateContent>
          <mc:Choice Requires="wps">
            <w:drawing>
              <wp:anchor distT="0" distB="0" distL="203200" distR="203200" simplePos="0" relativeHeight="42" behindDoc="0" locked="0" layoutInCell="1" hidden="0" allowOverlap="1">
                <wp:simplePos x="0" y="0"/>
                <wp:positionH relativeFrom="column">
                  <wp:posOffset>72390</wp:posOffset>
                </wp:positionH>
                <wp:positionV relativeFrom="paragraph">
                  <wp:posOffset>247650</wp:posOffset>
                </wp:positionV>
                <wp:extent cx="6047740" cy="323850"/>
                <wp:effectExtent l="635" t="635" r="29845" b="10795"/>
                <wp:wrapNone/>
                <wp:docPr id="1082" name="オブジェクト 0"/>
                <a:graphic xmlns:a="http://schemas.openxmlformats.org/drawingml/2006/main">
                  <a:graphicData uri="http://schemas.microsoft.com/office/word/2010/wordprocessingShape">
                    <wps:wsp>
                      <wps:cNvPr id="1082" name="オブジェクト 0"/>
                      <wps:cNvSpPr/>
                      <wps:spPr>
                        <a:xfrm>
                          <a:off x="0" y="0"/>
                          <a:ext cx="6047740" cy="323850"/>
                        </a:xfrm>
                        <a:prstGeom prst="rect">
                          <a:avLst/>
                        </a:prstGeom>
                        <a:noFill/>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19.5pt;mso-position-vertical-relative:text;mso-position-horizontal-relative:text;position:absolute;height:25.5pt;mso-wrap-distance-top:0pt;width:476.2pt;mso-wrap-distance-left:16pt;margin-left:5.7pt;z-index:42;" o:spid="_x0000_s1082" o:allowincell="t" o:allowoverlap="t" filled="f" stroked="t" strokecolor="#000000 [3200]" strokeweight="1pt" o:spt="1">
                <v:fill/>
                <v:stroke linestyle="single" miterlimit="8" endcap="flat" dashstyle="solid" filltype="solid"/>
                <v:textbox style="layout-flow:horizontal;"/>
                <v:imagedata o:title=""/>
                <w10:wrap type="none" anchorx="text" anchory="text"/>
              </v:rect>
            </w:pict>
          </mc:Fallback>
        </mc:AlternateContent>
      </w:r>
    </w:p>
    <w:p>
      <w:pPr>
        <w:pStyle w:val="0"/>
        <w:spacing w:after="194" w:afterLines="50" w:afterAutospacing="0" w:line="360" w:lineRule="exact"/>
        <w:ind w:firstLine="240" w:firstLineChars="100"/>
        <w:rPr>
          <w:rFonts w:hint="default"/>
          <w:sz w:val="26"/>
        </w:rPr>
      </w:pPr>
      <w:r>
        <w:rPr>
          <w:rFonts w:hint="eastAsia" w:ascii="ＭＳ ゴシック" w:hAnsi="ＭＳ ゴシック" w:eastAsia="ＭＳ ゴシック"/>
        </w:rPr>
        <w:t>＜重点２＞「親亡き後」の地域生活継続のための仕組みづくり</w:t>
      </w:r>
    </w:p>
    <w:p>
      <w:pPr>
        <w:pStyle w:val="0"/>
        <w:widowControl w:val="1"/>
        <w:spacing w:line="360" w:lineRule="exact"/>
        <w:ind w:left="240" w:leftChars="100" w:firstLine="240" w:firstLineChars="100"/>
        <w:jc w:val="left"/>
        <w:rPr>
          <w:rFonts w:hint="default"/>
        </w:rPr>
      </w:pPr>
      <w:r>
        <w:rPr>
          <w:rFonts w:hint="eastAsia"/>
        </w:rPr>
        <w:t>障害のある人の高齢化等が進み、昨年度の実態調査によると、今後の心配事は「保護者がいなくなった後の生活のこと」が最も多い結果となりました。</w:t>
      </w:r>
    </w:p>
    <w:p>
      <w:pPr>
        <w:pStyle w:val="36"/>
        <w:widowControl w:val="1"/>
        <w:numPr>
          <w:numId w:val="0"/>
        </w:numPr>
        <w:spacing w:line="360" w:lineRule="exact"/>
        <w:ind w:left="0" w:leftChars="0" w:hanging="210" w:hangingChars="100"/>
        <w:jc w:val="left"/>
        <w:rPr>
          <w:rFonts w:hint="eastAsia" w:ascii="ＭＳ ゴシックfalt" w:hAnsi="ＭＳ ゴシックfalt" w:eastAsiaTheme="minorEastAsia"/>
        </w:rPr>
      </w:pPr>
      <w:r>
        <w:rPr>
          <w:rFonts w:hint="eastAsia" w:ascii="Century" w:hAnsi="Century"/>
          <w:sz w:val="21"/>
        </w:rPr>
        <w:t>　　</w:t>
      </w:r>
      <w:r>
        <w:rPr>
          <w:rFonts w:hint="eastAsia"/>
        </w:rPr>
        <w:t>「親亡き後」も障害のある人が地域で安心して暮らせるよう、相談支援体制の充実や</w:t>
      </w:r>
      <w:r>
        <w:rPr>
          <w:rFonts w:hint="eastAsia" w:ascii="ＭＳ 明朝" w:hAnsi="ＭＳ 明朝" w:eastAsia="ＭＳ 明朝"/>
          <w:color w:val="auto"/>
          <w:sz w:val="24"/>
          <w:highlight w:val="none"/>
          <w:u w:val="none" w:color="auto"/>
        </w:rPr>
        <w:t>日中から夜間、また休日も含めて必要な支援を行うことができるようグループホーム</w:t>
      </w:r>
      <w:r>
        <w:rPr>
          <w:rFonts w:hint="eastAsia"/>
          <w:color w:val="000000" w:themeColor="text1"/>
          <w:spacing w:val="-4"/>
          <w:kern w:val="0"/>
          <w:u w:val="none" w:color="auto"/>
          <w:vertAlign w:val="superscript"/>
        </w:rPr>
        <w:t>＊</w:t>
      </w:r>
      <w:r>
        <w:rPr>
          <w:rFonts w:hint="eastAsia" w:ascii="ＭＳ 明朝" w:hAnsi="ＭＳ 明朝" w:eastAsia="ＭＳ 明朝"/>
          <w:color w:val="auto"/>
          <w:sz w:val="24"/>
          <w:highlight w:val="none"/>
          <w:u w:val="none" w:color="auto"/>
        </w:rPr>
        <w:t>の整備促進や日中活動系サービスの充実について、計画的な整備を進めると共に、強度行動障害</w:t>
      </w:r>
      <w:r>
        <w:rPr>
          <w:rFonts w:hint="eastAsia"/>
          <w:color w:val="000000" w:themeColor="text1"/>
          <w:spacing w:val="-4"/>
          <w:kern w:val="0"/>
          <w:u w:val="none" w:color="auto"/>
          <w:vertAlign w:val="superscript"/>
        </w:rPr>
        <w:t>＊</w:t>
      </w:r>
      <w:r>
        <w:rPr>
          <w:rFonts w:hint="eastAsia" w:ascii="ＭＳ 明朝" w:hAnsi="ＭＳ 明朝" w:eastAsia="ＭＳ 明朝"/>
          <w:color w:val="auto"/>
          <w:sz w:val="24"/>
          <w:highlight w:val="none"/>
          <w:u w:val="none" w:color="auto"/>
        </w:rPr>
        <w:t>など支援の難しい方に対する適切な支援が行われるよう人材の育成についても強化します。</w:t>
      </w:r>
    </w:p>
    <w:p>
      <w:pPr>
        <w:pStyle w:val="0"/>
        <w:widowControl w:val="1"/>
        <w:spacing w:line="283" w:lineRule="exact"/>
        <w:ind w:left="240" w:leftChars="100" w:firstLine="800" w:firstLineChars="400"/>
        <w:jc w:val="left"/>
        <w:rPr>
          <w:rFonts w:hint="eastAsia" w:ascii="ＭＳ Ｐ明朝" w:hAnsi="ＭＳ Ｐ明朝" w:eastAsia="ＭＳ Ｐ明朝"/>
          <w:sz w:val="20"/>
        </w:rPr>
      </w:pPr>
      <w:r>
        <w:rPr>
          <w:rFonts w:hint="eastAsia"/>
        </w:rPr>
        <w:drawing>
          <wp:anchor distT="0" distB="0" distL="203200" distR="203200" simplePos="0" relativeHeight="43" behindDoc="0" locked="0" layoutInCell="1" hidden="0" allowOverlap="1">
            <wp:simplePos x="0" y="0"/>
            <wp:positionH relativeFrom="column">
              <wp:posOffset>2482215</wp:posOffset>
            </wp:positionH>
            <wp:positionV relativeFrom="paragraph">
              <wp:posOffset>67945</wp:posOffset>
            </wp:positionV>
            <wp:extent cx="3067050" cy="2076450"/>
            <wp:effectExtent l="0" t="0" r="0" b="0"/>
            <wp:wrapNone/>
            <wp:docPr id="1083" name="オブジェクト 0"/>
            <a:graphic xmlns:a="http://schemas.openxmlformats.org/drawingml/2006/main">
              <a:graphicData uri="http://schemas.openxmlformats.org/drawingml/2006/picture">
                <pic:pic xmlns:pic="http://schemas.openxmlformats.org/drawingml/2006/picture">
                  <pic:nvPicPr>
                    <pic:cNvPr id="1083" name="オブジェクト 0"/>
                    <pic:cNvPicPr>
                      <a:picLocks noChangeAspect="1"/>
                    </pic:cNvPicPr>
                  </pic:nvPicPr>
                  <pic:blipFill>
                    <a:blip r:embed="rId25">
                      <a:extLst>
                        <a:ext uri="{BEBA8EAE-BF5A-486C-A8C5-ECC9F3942E4B}">
                          <a14:imgProps xmlns:a14="http://schemas.microsoft.com/office/drawing/2010/main">
                            <a14:imgLayer r:embed="rId26">
                              <a14:imgEffect>
                                <a14:backgroundRemoval t="5046" b="97706" l="932" r="94720">
                                  <a14:foregroundMark x1="932" y1="5046" x2="2174" y2="93578"/>
                                  <a14:foregroundMark x1="3727" y1="94954" x2="94720" y2="97706"/>
                                </a14:backgroundRemoval>
                              </a14:imgEffect>
                            </a14:imgLayer>
                          </a14:imgProps>
                        </a:ext>
                      </a:extLst>
                    </a:blip>
                    <a:stretch>
                      <a:fillRect/>
                    </a:stretch>
                  </pic:blipFill>
                  <pic:spPr>
                    <a:xfrm>
                      <a:off x="0" y="0"/>
                      <a:ext cx="3067050" cy="2076450"/>
                    </a:xfrm>
                    <a:prstGeom prst="rect">
                      <a:avLst/>
                    </a:prstGeom>
                    <a:ln/>
                    <a:effectLst/>
                  </pic:spPr>
                </pic:pic>
              </a:graphicData>
            </a:graphic>
          </wp:anchor>
        </w:drawing>
      </w:r>
      <w:r>
        <w:rPr>
          <w:rFonts w:hint="eastAsia" w:ascii="ＭＳ Ｐ明朝" w:hAnsi="ＭＳ Ｐ明朝" w:eastAsia="ＭＳ Ｐ明朝"/>
          <w:sz w:val="20"/>
        </w:rPr>
        <w:t>御本人が生活していく上で今後心配になること（保護者回答）</w:t>
      </w:r>
    </w:p>
    <w:p>
      <w:pPr>
        <w:pStyle w:val="0"/>
        <w:widowControl w:val="1"/>
        <w:spacing w:line="283" w:lineRule="exact"/>
        <w:ind w:left="210" w:hanging="210" w:hangingChars="100"/>
        <w:jc w:val="left"/>
        <w:rPr>
          <w:rFonts w:hint="default" w:ascii="Century" w:hAnsi="Century"/>
          <w:sz w:val="16"/>
        </w:rPr>
      </w:pPr>
      <w:r>
        <w:rPr>
          <w:rFonts w:hint="eastAsia" w:ascii="Century" w:hAnsi="Century"/>
          <w:sz w:val="21"/>
        </w:rPr>
        <w:t>　　　　</w:t>
      </w:r>
      <w:r>
        <w:rPr>
          <w:rFonts w:hint="eastAsia" w:ascii="Century" w:hAnsi="Century"/>
          <w:sz w:val="16"/>
        </w:rPr>
        <w:t>保護者の方がいなくなった後の生活のこと</w:t>
      </w:r>
    </w:p>
    <w:p>
      <w:pPr>
        <w:pStyle w:val="0"/>
        <w:widowControl w:val="1"/>
        <w:spacing w:line="240" w:lineRule="exact"/>
        <w:ind w:left="160" w:hanging="160" w:hangingChars="100"/>
        <w:jc w:val="left"/>
        <w:rPr>
          <w:rFonts w:hint="default" w:ascii="Century" w:hAnsi="Century"/>
          <w:sz w:val="16"/>
        </w:rPr>
      </w:pPr>
      <w:r>
        <w:rPr>
          <w:rFonts w:hint="eastAsia" w:ascii="Century" w:hAnsi="Century"/>
          <w:sz w:val="16"/>
        </w:rPr>
        <w:t>　　　　　　　　　　　</w:t>
      </w:r>
      <w:r>
        <w:rPr>
          <w:rFonts w:hint="default" w:ascii="Century" w:hAnsi="Century"/>
          <w:sz w:val="16"/>
        </w:rPr>
        <w:t xml:space="preserve"> </w:t>
      </w:r>
      <w:r>
        <w:rPr>
          <w:rFonts w:hint="eastAsia" w:ascii="Century" w:hAnsi="Century"/>
          <w:sz w:val="16"/>
        </w:rPr>
        <w:t>　御本人の健康や身体のこと</w:t>
      </w:r>
    </w:p>
    <w:p>
      <w:pPr>
        <w:pStyle w:val="0"/>
        <w:widowControl w:val="1"/>
        <w:spacing w:line="240" w:lineRule="exact"/>
        <w:ind w:left="160" w:hanging="160" w:hangingChars="100"/>
        <w:jc w:val="left"/>
        <w:rPr>
          <w:rFonts w:hint="default" w:ascii="Century" w:hAnsi="Century"/>
          <w:sz w:val="16"/>
        </w:rPr>
      </w:pPr>
      <w:r>
        <w:rPr>
          <w:rFonts w:hint="eastAsia" w:ascii="Century" w:hAnsi="Century"/>
          <w:sz w:val="16"/>
        </w:rPr>
        <w:t>　　　　　　　　　　</w:t>
      </w:r>
      <w:r>
        <w:rPr>
          <w:rFonts w:hint="default" w:ascii="Century" w:hAnsi="Century"/>
          <w:sz w:val="16"/>
        </w:rPr>
        <w:t xml:space="preserve">       </w:t>
      </w:r>
      <w:r>
        <w:rPr>
          <w:rFonts w:hint="eastAsia" w:ascii="Century" w:hAnsi="Century"/>
          <w:sz w:val="16"/>
        </w:rPr>
        <w:t>　　御本人の老後のこと</w:t>
      </w:r>
    </w:p>
    <w:p>
      <w:pPr>
        <w:pStyle w:val="0"/>
        <w:widowControl w:val="1"/>
        <w:spacing w:line="240" w:lineRule="exact"/>
        <w:ind w:left="160" w:hanging="160" w:hangingChars="100"/>
        <w:jc w:val="left"/>
        <w:rPr>
          <w:rFonts w:hint="default" w:ascii="Century" w:hAnsi="Century"/>
          <w:sz w:val="16"/>
        </w:rPr>
      </w:pPr>
      <w:r>
        <w:rPr>
          <w:rFonts w:hint="eastAsia" w:ascii="Century" w:hAnsi="Century"/>
          <w:sz w:val="16"/>
        </w:rPr>
        <w:t>　　　　　　　　　　</w:t>
      </w:r>
      <w:r>
        <w:rPr>
          <w:rFonts w:hint="default" w:ascii="Century" w:hAnsi="Century"/>
          <w:sz w:val="16"/>
        </w:rPr>
        <w:t xml:space="preserve">               </w:t>
      </w:r>
      <w:r>
        <w:rPr>
          <w:rFonts w:hint="eastAsia" w:ascii="Century" w:hAnsi="Century"/>
          <w:sz w:val="16"/>
        </w:rPr>
        <w:t>　　お金のこと</w:t>
      </w:r>
    </w:p>
    <w:p>
      <w:pPr>
        <w:pStyle w:val="0"/>
        <w:widowControl w:val="1"/>
        <w:spacing w:line="240" w:lineRule="exact"/>
        <w:ind w:left="160" w:hanging="160" w:hangingChars="100"/>
        <w:jc w:val="left"/>
        <w:rPr>
          <w:rFonts w:hint="default" w:ascii="Century" w:hAnsi="Century"/>
          <w:sz w:val="16"/>
        </w:rPr>
      </w:pPr>
      <w:r>
        <w:rPr>
          <w:rFonts w:hint="eastAsia" w:ascii="Century" w:hAnsi="Century"/>
          <w:sz w:val="16"/>
        </w:rPr>
        <w:t>　　　　　　</w:t>
      </w:r>
      <w:r>
        <w:rPr>
          <w:rFonts w:hint="default" w:ascii="Century" w:hAnsi="Century"/>
          <w:sz w:val="16"/>
        </w:rPr>
        <w:t xml:space="preserve">           </w:t>
      </w:r>
      <w:r>
        <w:rPr>
          <w:rFonts w:hint="eastAsia" w:ascii="Century" w:hAnsi="Century"/>
          <w:sz w:val="16"/>
        </w:rPr>
        <w:t>日常生活における介助のこと</w:t>
      </w:r>
    </w:p>
    <w:p>
      <w:pPr>
        <w:pStyle w:val="0"/>
        <w:widowControl w:val="1"/>
        <w:spacing w:line="240" w:lineRule="exact"/>
        <w:ind w:left="160" w:hanging="160" w:hangingChars="100"/>
        <w:jc w:val="left"/>
        <w:rPr>
          <w:rFonts w:hint="default" w:ascii="Century" w:hAnsi="Century"/>
          <w:sz w:val="16"/>
        </w:rPr>
      </w:pPr>
      <w:r>
        <w:rPr>
          <w:rFonts w:hint="eastAsia" w:ascii="Century" w:hAnsi="Century"/>
          <w:sz w:val="16"/>
        </w:rPr>
        <w:t>　　　　　　　</w:t>
      </w:r>
      <w:r>
        <w:rPr>
          <w:rFonts w:hint="default" w:ascii="Century" w:hAnsi="Century"/>
          <w:sz w:val="16"/>
        </w:rPr>
        <w:t xml:space="preserve">       </w:t>
      </w:r>
      <w:r>
        <w:rPr>
          <w:rFonts w:hint="eastAsia" w:ascii="Century" w:hAnsi="Century"/>
          <w:sz w:val="16"/>
        </w:rPr>
        <w:t>保護者の方の健康や身体のこと</w:t>
      </w:r>
    </w:p>
    <w:p>
      <w:pPr>
        <w:pStyle w:val="0"/>
        <w:widowControl w:val="1"/>
        <w:spacing w:line="240" w:lineRule="exact"/>
        <w:ind w:left="160" w:hanging="160" w:hangingChars="100"/>
        <w:jc w:val="left"/>
        <w:rPr>
          <w:rFonts w:hint="default" w:ascii="Century" w:hAnsi="Century"/>
          <w:sz w:val="16"/>
        </w:rPr>
      </w:pPr>
      <w:r>
        <w:rPr>
          <w:rFonts w:hint="eastAsia" w:ascii="Century" w:hAnsi="Century"/>
          <w:sz w:val="16"/>
        </w:rPr>
        <w:t>　　　　　　　　　　</w:t>
      </w:r>
      <w:r>
        <w:rPr>
          <w:rFonts w:hint="default" w:ascii="Century" w:hAnsi="Century"/>
          <w:sz w:val="16"/>
        </w:rPr>
        <w:t xml:space="preserve">         </w:t>
      </w:r>
      <w:r>
        <w:rPr>
          <w:rFonts w:hint="eastAsia" w:ascii="Century" w:hAnsi="Century"/>
          <w:sz w:val="16"/>
        </w:rPr>
        <w:t>　　仕事や職場のこと</w:t>
      </w:r>
    </w:p>
    <w:p>
      <w:pPr>
        <w:pStyle w:val="0"/>
        <w:widowControl w:val="1"/>
        <w:spacing w:line="240" w:lineRule="exact"/>
        <w:ind w:left="160" w:hanging="160" w:hangingChars="100"/>
        <w:jc w:val="left"/>
        <w:rPr>
          <w:rFonts w:hint="default" w:ascii="Century" w:hAnsi="Century"/>
          <w:sz w:val="16"/>
        </w:rPr>
      </w:pPr>
      <w:r>
        <w:rPr>
          <w:rFonts w:hint="eastAsia" w:ascii="Century" w:hAnsi="Century"/>
          <w:sz w:val="16"/>
        </w:rPr>
        <w:t>　　　　　　　　　　　　</w:t>
      </w:r>
      <w:r>
        <w:rPr>
          <w:rFonts w:hint="default" w:ascii="Century" w:hAnsi="Century"/>
          <w:sz w:val="16"/>
        </w:rPr>
        <w:t xml:space="preserve">             </w:t>
      </w:r>
      <w:r>
        <w:rPr>
          <w:rFonts w:hint="eastAsia" w:ascii="Century" w:hAnsi="Century"/>
          <w:sz w:val="16"/>
        </w:rPr>
        <w:t>住まいのこと</w:t>
      </w:r>
    </w:p>
    <w:p>
      <w:pPr>
        <w:pStyle w:val="0"/>
        <w:widowControl w:val="1"/>
        <w:spacing w:line="240" w:lineRule="exact"/>
        <w:ind w:left="160" w:hanging="160" w:hangingChars="100"/>
        <w:jc w:val="left"/>
        <w:rPr>
          <w:rFonts w:hint="default" w:ascii="Century" w:hAnsi="Century"/>
          <w:sz w:val="16"/>
        </w:rPr>
      </w:pPr>
      <w:r>
        <w:rPr>
          <w:rFonts w:hint="eastAsia" w:ascii="Century" w:hAnsi="Century"/>
          <w:sz w:val="16"/>
        </w:rPr>
        <w:t>　　　　</w:t>
      </w:r>
      <w:r>
        <w:rPr>
          <w:rFonts w:hint="default" w:ascii="Century" w:hAnsi="Century"/>
          <w:sz w:val="16"/>
        </w:rPr>
        <w:t xml:space="preserve">       </w:t>
      </w:r>
      <w:r>
        <w:rPr>
          <w:rFonts w:hint="eastAsia" w:ascii="Century" w:hAnsi="Century"/>
          <w:sz w:val="16"/>
        </w:rPr>
        <w:t>成年後見人等の権利擁護に関すること</w:t>
      </w:r>
    </w:p>
    <w:p>
      <w:pPr>
        <w:pStyle w:val="0"/>
        <w:widowControl w:val="1"/>
        <w:spacing w:line="240" w:lineRule="exact"/>
        <w:ind w:left="160" w:hanging="160" w:hangingChars="100"/>
        <w:jc w:val="left"/>
        <w:rPr>
          <w:rFonts w:hint="default" w:ascii="Century" w:hAnsi="Century"/>
          <w:sz w:val="16"/>
        </w:rPr>
      </w:pPr>
      <w:r>
        <w:rPr>
          <w:rFonts w:hint="eastAsia" w:ascii="Century" w:hAnsi="Century"/>
          <w:sz w:val="16"/>
        </w:rPr>
        <w:t>　　　　　　　</w:t>
      </w:r>
      <w:r>
        <w:rPr>
          <w:rFonts w:hint="default" w:ascii="Century" w:hAnsi="Century"/>
          <w:sz w:val="16"/>
        </w:rPr>
        <w:t xml:space="preserve">                 </w:t>
      </w:r>
      <w:r>
        <w:rPr>
          <w:rFonts w:hint="eastAsia" w:ascii="Century" w:hAnsi="Century"/>
          <w:sz w:val="16"/>
        </w:rPr>
        <w:t>　　　　　特にない</w:t>
      </w:r>
    </w:p>
    <w:p>
      <w:pPr>
        <w:pStyle w:val="0"/>
        <w:widowControl w:val="1"/>
        <w:spacing w:line="240" w:lineRule="exact"/>
        <w:ind w:left="160" w:hanging="160" w:hangingChars="100"/>
        <w:jc w:val="left"/>
        <w:rPr>
          <w:rFonts w:hint="default" w:ascii="Century" w:hAnsi="Century"/>
          <w:sz w:val="16"/>
        </w:rPr>
      </w:pPr>
      <w:r>
        <w:rPr>
          <w:rFonts w:hint="eastAsia" w:ascii="Century" w:hAnsi="Century"/>
          <w:sz w:val="16"/>
        </w:rPr>
        <w:t>　　　　　　　　　　　　　　　</w:t>
      </w:r>
      <w:r>
        <w:rPr>
          <w:rFonts w:hint="default" w:ascii="Century" w:hAnsi="Century"/>
          <w:sz w:val="16"/>
        </w:rPr>
        <w:t xml:space="preserve">             </w:t>
      </w:r>
      <w:r>
        <w:rPr>
          <w:rFonts w:hint="eastAsia" w:ascii="Century" w:hAnsi="Century"/>
          <w:sz w:val="16"/>
        </w:rPr>
        <w:t>その他</w:t>
      </w:r>
    </w:p>
    <w:p>
      <w:pPr>
        <w:pStyle w:val="0"/>
        <w:widowControl w:val="1"/>
        <w:spacing w:line="240" w:lineRule="exact"/>
        <w:ind w:left="160" w:hanging="160" w:hangingChars="100"/>
        <w:jc w:val="left"/>
        <w:rPr>
          <w:rFonts w:hint="default" w:ascii="Century" w:hAnsi="Century"/>
          <w:sz w:val="16"/>
        </w:rPr>
      </w:pPr>
      <w:r>
        <w:rPr>
          <w:rFonts w:hint="eastAsia" w:ascii="Century" w:hAnsi="Century"/>
          <w:sz w:val="16"/>
        </w:rPr>
        <w:t>　　　　　　　　　　　　　　　　</w:t>
      </w:r>
      <w:r>
        <w:rPr>
          <w:rFonts w:hint="default" w:ascii="Century" w:hAnsi="Century"/>
          <w:sz w:val="16"/>
        </w:rPr>
        <w:t xml:space="preserve">         </w:t>
      </w:r>
      <w:r>
        <w:rPr>
          <w:rFonts w:hint="eastAsia" w:ascii="Century" w:hAnsi="Century"/>
          <w:sz w:val="16"/>
        </w:rPr>
        <w:t>　無回答</w:t>
      </w:r>
    </w:p>
    <w:p>
      <w:pPr>
        <w:pStyle w:val="0"/>
        <w:widowControl w:val="1"/>
        <w:spacing w:line="240" w:lineRule="exact"/>
        <w:ind w:left="210" w:hanging="210" w:hangingChars="100"/>
        <w:jc w:val="left"/>
        <w:rPr>
          <w:rFonts w:hint="default" w:asciiTheme="minorEastAsia" w:hAnsiTheme="minorEastAsia" w:eastAsiaTheme="minorEastAsia"/>
        </w:rPr>
      </w:pPr>
      <w:r>
        <w:rPr>
          <w:rFonts w:hint="eastAsia" w:ascii="Century" w:hAnsi="Century"/>
          <w:sz w:val="21"/>
        </w:rPr>
        <w:t>　</w:t>
      </w:r>
    </w:p>
    <w:p>
      <w:pPr>
        <w:pStyle w:val="0"/>
        <w:spacing w:before="194" w:beforeLines="50" w:beforeAutospacing="0" w:after="194" w:afterLines="50" w:afterAutospacing="0" w:line="360" w:lineRule="exact"/>
        <w:ind w:firstLine="240" w:firstLineChars="100"/>
        <w:rPr>
          <w:rFonts w:hint="default" w:asciiTheme="minorEastAsia" w:hAnsiTheme="minorEastAsia" w:eastAsiaTheme="minorEastAsia"/>
        </w:rPr>
      </w:pPr>
      <w:r>
        <w:rPr>
          <w:rFonts w:hint="eastAsia"/>
        </w:rPr>
        <mc:AlternateContent>
          <mc:Choice Requires="wps">
            <w:drawing>
              <wp:anchor distT="0" distB="0" distL="203200" distR="203200" simplePos="0" relativeHeight="44" behindDoc="0" locked="0" layoutInCell="1" hidden="0" allowOverlap="1">
                <wp:simplePos x="0" y="0"/>
                <wp:positionH relativeFrom="column">
                  <wp:posOffset>78740</wp:posOffset>
                </wp:positionH>
                <wp:positionV relativeFrom="paragraph">
                  <wp:posOffset>93980</wp:posOffset>
                </wp:positionV>
                <wp:extent cx="6047740" cy="323850"/>
                <wp:effectExtent l="635" t="635" r="29845" b="10795"/>
                <wp:wrapNone/>
                <wp:docPr id="1084" name="オブジェクト 0"/>
                <a:graphic xmlns:a="http://schemas.openxmlformats.org/drawingml/2006/main">
                  <a:graphicData uri="http://schemas.microsoft.com/office/word/2010/wordprocessingShape">
                    <wps:wsp>
                      <wps:cNvPr id="1084" name="オブジェクト 0"/>
                      <wps:cNvSpPr/>
                      <wps:spPr>
                        <a:xfrm>
                          <a:off x="0" y="0"/>
                          <a:ext cx="6047740" cy="323850"/>
                        </a:xfrm>
                        <a:prstGeom prst="rect">
                          <a:avLst/>
                        </a:prstGeom>
                        <a:noFill/>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7.4pt;mso-position-vertical-relative:text;mso-position-horizontal-relative:text;position:absolute;height:25.5pt;mso-wrap-distance-top:0pt;width:476.2pt;mso-wrap-distance-left:16pt;margin-left:6.2pt;z-index:44;" o:spid="_x0000_s1084" o:allowincell="t" o:allowoverlap="t" filled="f" stroked="t" strokecolor="#000000 [3200]"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rPr>
        <w:t>＜重点３＞新しい生活様式における情報保障の推進と感染症対策の充実</w:t>
      </w:r>
    </w:p>
    <w:p>
      <w:pPr>
        <w:pStyle w:val="0"/>
        <w:widowControl w:val="1"/>
        <w:spacing w:line="360" w:lineRule="exact"/>
        <w:ind w:left="240" w:leftChars="100" w:firstLine="240" w:firstLineChars="100"/>
        <w:jc w:val="left"/>
        <w:rPr>
          <w:rFonts w:hint="default"/>
        </w:rPr>
      </w:pPr>
      <w:r>
        <w:rPr>
          <w:rFonts w:hint="eastAsia"/>
        </w:rPr>
        <w:t>災害時やコロナ等の緊急時において、音声や点字等が必要な視覚障害者や文字情報が必要な聴覚障害者に対する情報の遅れが指摘されていることから、障害の特性に応じ、情報を入手しやすい環境の充実が必要となっています。</w:t>
      </w:r>
    </w:p>
    <w:p>
      <w:pPr>
        <w:pStyle w:val="0"/>
        <w:widowControl w:val="1"/>
        <w:spacing w:line="360" w:lineRule="exact"/>
        <w:ind w:left="240" w:leftChars="100" w:firstLine="240" w:firstLineChars="100"/>
        <w:jc w:val="left"/>
        <w:rPr>
          <w:rFonts w:hint="default"/>
        </w:rPr>
      </w:pPr>
      <w:r>
        <w:rPr>
          <w:rFonts w:hint="eastAsia"/>
        </w:rPr>
        <w:t>このため、ウィズコロナを踏まえた新しい生活様式において、障害のある人が「いつでも」「どこからでも」情報にアクセスし、意思表示やコミュニケーションができる環境を目指し、</w:t>
      </w:r>
      <w:r>
        <w:rPr>
          <w:rFonts w:hint="eastAsia"/>
          <w:u w:val="none" w:color="auto"/>
        </w:rPr>
        <w:t>遠隔手話通訳</w:t>
      </w:r>
      <w:r>
        <w:rPr>
          <w:rFonts w:hint="eastAsia"/>
        </w:rPr>
        <w:t>の活用など障害分野での</w:t>
      </w:r>
      <w:r>
        <w:rPr>
          <w:rFonts w:hint="eastAsia"/>
        </w:rPr>
        <w:t>ICT</w:t>
      </w:r>
      <w:r>
        <w:rPr>
          <w:rFonts w:hint="eastAsia"/>
        </w:rPr>
        <w:t>の活用を推進します</w:t>
      </w:r>
    </w:p>
    <w:p>
      <w:pPr>
        <w:pStyle w:val="0"/>
        <w:widowControl w:val="1"/>
        <w:spacing w:line="360" w:lineRule="exact"/>
        <w:ind w:left="240" w:leftChars="100" w:firstLine="240" w:firstLineChars="100"/>
        <w:jc w:val="left"/>
        <w:rPr>
          <w:rFonts w:hint="default"/>
        </w:rPr>
      </w:pPr>
    </w:p>
    <w:p>
      <w:pPr>
        <w:pStyle w:val="0"/>
        <w:widowControl w:val="1"/>
        <w:spacing w:line="360" w:lineRule="exact"/>
        <w:ind w:left="240" w:leftChars="100" w:firstLine="240" w:firstLineChars="100"/>
        <w:jc w:val="left"/>
        <w:rPr>
          <w:rFonts w:hint="default"/>
        </w:rPr>
      </w:pPr>
      <w:r>
        <w:rPr>
          <w:rFonts w:hint="eastAsia"/>
        </w:rPr>
        <w:t>また、感染症拡大時においても、障害のある人が障害福祉サービス等を継続して利用できる必要があることから、施設内での感染症の発生や感染の拡大を防止するため、障害福祉サービス事業所等の感染症対策を強化します。</w:t>
      </w:r>
    </w:p>
    <w:p>
      <w:pPr>
        <w:pStyle w:val="0"/>
        <w:spacing w:line="360" w:lineRule="exact"/>
        <w:rPr>
          <w:rFonts w:hint="default"/>
          <w:sz w:val="26"/>
          <w:u w:val="single" w:color="auto"/>
        </w:rPr>
      </w:pPr>
    </w:p>
    <w:p>
      <w:pPr>
        <w:pStyle w:val="0"/>
        <w:spacing w:line="360" w:lineRule="exact"/>
        <w:rPr>
          <w:rFonts w:hint="default"/>
          <w:sz w:val="26"/>
          <w:u w:val="single" w:color="auto"/>
        </w:rPr>
      </w:pPr>
    </w:p>
    <w:p>
      <w:pPr>
        <w:pStyle w:val="0"/>
        <w:spacing w:before="0" w:beforeLines="0" w:beforeAutospacing="0" w:after="0" w:afterLines="0" w:afterAutospacing="0" w:line="100" w:lineRule="exact"/>
        <w:ind w:firstLine="240" w:firstLineChars="100"/>
        <w:rPr>
          <w:rFonts w:hint="default" w:asciiTheme="minorEastAsia" w:hAnsiTheme="minorEastAsia" w:eastAsiaTheme="minorEastAsia"/>
        </w:rPr>
      </w:pPr>
      <w:r>
        <w:rPr>
          <w:rFonts w:hint="eastAsia"/>
        </w:rPr>
        <mc:AlternateContent>
          <mc:Choice Requires="wps">
            <w:drawing>
              <wp:anchor distT="0" distB="0" distL="203200" distR="203200" simplePos="0" relativeHeight="65" behindDoc="0" locked="0" layoutInCell="1" hidden="0" allowOverlap="1">
                <wp:simplePos x="0" y="0"/>
                <wp:positionH relativeFrom="column">
                  <wp:posOffset>78740</wp:posOffset>
                </wp:positionH>
                <wp:positionV relativeFrom="paragraph">
                  <wp:posOffset>10160</wp:posOffset>
                </wp:positionV>
                <wp:extent cx="6047740" cy="323850"/>
                <wp:effectExtent l="635" t="635" r="29845" b="10795"/>
                <wp:wrapNone/>
                <wp:docPr id="1085" name="オブジェクト 0"/>
                <a:graphic xmlns:a="http://schemas.openxmlformats.org/drawingml/2006/main">
                  <a:graphicData uri="http://schemas.microsoft.com/office/word/2010/wordprocessingShape">
                    <wps:wsp>
                      <wps:cNvPr id="1085" name="オブジェクト 0"/>
                      <wps:cNvSpPr/>
                      <wps:spPr>
                        <a:xfrm>
                          <a:off x="0" y="0"/>
                          <a:ext cx="6047740" cy="323850"/>
                        </a:xfrm>
                        <a:prstGeom prst="rect">
                          <a:avLst/>
                        </a:prstGeom>
                        <a:noFill/>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0.8pt;mso-position-vertical-relative:text;mso-position-horizontal-relative:text;position:absolute;height:25.5pt;mso-wrap-distance-top:0pt;width:476.2pt;mso-wrap-distance-left:16pt;margin-left:6.2pt;z-index:65;" o:spid="_x0000_s1085" o:allowincell="t" o:allowoverlap="t" filled="f" stroked="t" strokecolor="#000000 [3200]" strokeweight="1pt" o:spt="1">
                <v:fill/>
                <v:stroke linestyle="single" miterlimit="8" endcap="flat" dashstyle="solid" filltype="solid"/>
                <v:textbox style="layout-flow:horizontal;"/>
                <v:imagedata o:title=""/>
                <w10:wrap type="none" anchorx="text" anchory="text"/>
              </v:rect>
            </w:pict>
          </mc:Fallback>
        </mc:AlternateContent>
      </w:r>
    </w:p>
    <w:p>
      <w:pPr>
        <w:pStyle w:val="0"/>
        <w:spacing w:line="360" w:lineRule="exact"/>
        <w:rPr>
          <w:rFonts w:hint="default"/>
          <w:sz w:val="26"/>
          <w:u w:val="none" w:color="auto"/>
        </w:rPr>
      </w:pPr>
      <w:r>
        <w:rPr>
          <w:rFonts w:hint="eastAsia" w:ascii="ＭＳ ゴシック" w:hAnsi="ＭＳ ゴシック" w:eastAsia="ＭＳ ゴシック"/>
        </w:rPr>
        <w:t>　</w:t>
      </w:r>
      <w:r>
        <w:rPr>
          <w:rFonts w:hint="eastAsia" w:ascii="ＭＳ ゴシック" w:hAnsi="ＭＳ ゴシック" w:eastAsia="ＭＳ ゴシック"/>
          <w:u w:val="none" w:color="auto"/>
        </w:rPr>
        <w:t>＜重点４＞医療的ケア児等に対する支援の充実</w:t>
      </w:r>
    </w:p>
    <w:p>
      <w:pPr>
        <w:pStyle w:val="0"/>
        <w:autoSpaceDE w:val="0"/>
        <w:autoSpaceDN w:val="0"/>
        <w:adjustRightInd w:val="0"/>
        <w:spacing w:before="194" w:beforeLines="50" w:beforeAutospacing="0" w:line="360" w:lineRule="exact"/>
        <w:ind w:left="0" w:hangingChars="100" w:firstLine="0"/>
        <w:jc w:val="left"/>
        <w:rPr>
          <w:rFonts w:hint="eastAsia" w:ascii="ＭＳ 明朝" w:hAnsi="ＭＳ 明朝" w:eastAsia="ＭＳ 明朝"/>
          <w:sz w:val="24"/>
          <w:u w:val="none" w:color="auto"/>
        </w:rPr>
      </w:pPr>
      <w:r>
        <w:rPr>
          <w:rFonts w:hint="eastAsia"/>
          <w:sz w:val="26"/>
          <w:u w:val="none" w:color="auto"/>
        </w:rPr>
        <w:t>　　</w:t>
      </w:r>
      <w:r>
        <w:rPr>
          <w:rFonts w:hint="eastAsia" w:ascii="ＭＳ 明朝" w:hAnsi="ＭＳ 明朝" w:eastAsia="ＭＳ 明朝"/>
          <w:sz w:val="24"/>
          <w:u w:val="none" w:color="auto"/>
        </w:rPr>
        <w:t>医療技術の進歩等を背景にして、新生児特定集中治療室（ＮＩＣＵ）等からの退院後、たんの吸引や経管栄養など、在宅で医療的ケアが必要な「医療的ケア児」が増加しています。医療的ケア児が抱える課題は、医療、介護、福祉、教育など多岐に渡ることから、関係機関が連携した支援の充実が求められています。</w:t>
      </w:r>
    </w:p>
    <w:p>
      <w:pPr>
        <w:pStyle w:val="0"/>
        <w:autoSpaceDE w:val="0"/>
        <w:autoSpaceDN w:val="0"/>
        <w:adjustRightInd w:val="0"/>
        <w:spacing w:line="360" w:lineRule="exact"/>
        <w:ind w:left="240" w:hanging="240" w:hangingChars="100"/>
        <w:jc w:val="left"/>
        <w:rPr>
          <w:rFonts w:hint="eastAsia" w:ascii="ＭＳ 明朝" w:hAnsi="ＭＳ 明朝" w:eastAsia="ＭＳ 明朝"/>
          <w:sz w:val="24"/>
          <w:u w:val="none" w:color="auto"/>
        </w:rPr>
      </w:pPr>
      <w:r>
        <w:rPr>
          <w:rFonts w:hint="eastAsia" w:ascii="ＭＳ 明朝" w:hAnsi="ＭＳ 明朝" w:eastAsia="ＭＳ 明朝"/>
          <w:sz w:val="24"/>
          <w:u w:val="none" w:color="auto"/>
        </w:rPr>
        <w:t>　　このため、令和３年９月に施行された「医療的ケア児及びその家族に対する支援に関する法律」を受け、医療的ケア児等支援センター</w:t>
      </w:r>
      <w:r>
        <w:rPr>
          <w:rFonts w:hint="eastAsia"/>
          <w:color w:val="000000" w:themeColor="text1"/>
          <w:spacing w:val="-4"/>
          <w:kern w:val="0"/>
          <w:u w:val="none" w:color="auto"/>
          <w:vertAlign w:val="superscript"/>
        </w:rPr>
        <w:t>＊</w:t>
      </w:r>
      <w:r>
        <w:rPr>
          <w:rFonts w:hint="eastAsia" w:ascii="ＭＳ 明朝" w:hAnsi="ＭＳ 明朝" w:eastAsia="ＭＳ 明朝"/>
          <w:sz w:val="24"/>
          <w:u w:val="none" w:color="auto"/>
        </w:rPr>
        <w:t>を設置するとともに、医療、介護、福祉、教育など多職種による連携の促進や支援に携わる専門人材の養成など、医療的ケア児等が地域で安心して生活できる支援体制の構築を図ります。</w:t>
      </w:r>
    </w:p>
    <w:p>
      <w:pPr>
        <w:pStyle w:val="0"/>
        <w:spacing w:line="360" w:lineRule="exact"/>
        <w:rPr>
          <w:rFonts w:hint="default"/>
          <w:sz w:val="26"/>
          <w:u w:val="single" w:color="auto"/>
        </w:rPr>
      </w:pPr>
    </w:p>
    <w:p>
      <w:pPr>
        <w:pStyle w:val="0"/>
        <w:spacing w:line="360" w:lineRule="exact"/>
        <w:rPr>
          <w:rFonts w:hint="default"/>
          <w:sz w:val="26"/>
          <w:u w:val="single" w:color="auto"/>
        </w:rPr>
      </w:pPr>
      <w:r>
        <w:rPr>
          <w:rFonts w:hint="eastAsia"/>
        </w:rPr>
        <w:drawing>
          <wp:anchor simplePos="0" relativeHeight="67" behindDoc="0" locked="0" layoutInCell="1" hidden="0" allowOverlap="1">
            <wp:simplePos x="0" y="0"/>
            <wp:positionH relativeFrom="page">
              <wp:posOffset>1434465</wp:posOffset>
            </wp:positionH>
            <wp:positionV relativeFrom="page">
              <wp:posOffset>6567805</wp:posOffset>
            </wp:positionV>
            <wp:extent cx="3971925" cy="2309495"/>
            <wp:effectExtent l="0" t="0" r="0" b="0"/>
            <wp:wrapNone/>
            <wp:docPr id="1086" name="オブジェクト 0"/>
            <a:graphic xmlns:a="http://schemas.openxmlformats.org/drawingml/2006/main">
              <a:graphicData uri="http://schemas.openxmlformats.org/drawingml/2006/chart">
                <c:chart xmlns:c="http://schemas.openxmlformats.org/drawingml/2006/chart" r:id="rId27"/>
              </a:graphicData>
            </a:graphic>
          </wp:anchor>
        </w:drawing>
      </w:r>
    </w:p>
    <w:p>
      <w:pPr>
        <w:rPr>
          <w:rFonts w:hint="default"/>
          <w:kern w:val="0"/>
        </w:rPr>
        <w:sectPr>
          <w:headerReference r:id="rId22" w:type="even"/>
          <w:headerReference r:id="rId23" w:type="default"/>
          <w:headerReference r:id="rId21" w:type="first"/>
          <w:pgSz w:w="11906" w:h="16838"/>
          <w:pgMar w:top="1134" w:right="1021" w:bottom="1134" w:left="1134" w:header="284" w:footer="284" w:gutter="0"/>
          <w:cols w:space="720"/>
          <w:textDirection w:val="lrTb"/>
          <w:docGrid w:type="lines" w:linePitch="428"/>
        </w:sectPr>
      </w:pPr>
    </w:p>
    <w:p>
      <w:pPr>
        <w:pStyle w:val="0"/>
        <w:outlineLvl w:val="0"/>
        <w:rPr>
          <w:rFonts w:hint="default"/>
          <w:b w:val="1"/>
          <w:color w:val="FFFFFF"/>
          <w:sz w:val="36"/>
        </w:rPr>
      </w:pPr>
      <w:bookmarkStart w:id="59" w:name="_Toc503474013"/>
      <w:bookmarkEnd w:id="59"/>
      <w:bookmarkStart w:id="60" w:name="_Toc503474014"/>
      <w:bookmarkEnd w:id="60"/>
      <w:bookmarkStart w:id="61" w:name="_Toc503474015"/>
      <w:bookmarkEnd w:id="61"/>
      <w:bookmarkStart w:id="62" w:name="_Toc503474016"/>
      <w:bookmarkEnd w:id="62"/>
      <w:r>
        <w:rPr>
          <w:rFonts w:hint="eastAsia"/>
          <w:b w:val="1"/>
          <w:color w:val="FFFFFF"/>
          <w:sz w:val="36"/>
        </w:rPr>
        <w:t>Ⅲ　計画の推進と検証・見直し</w:t>
      </w:r>
    </w:p>
    <w:p>
      <w:pPr>
        <w:pStyle w:val="0"/>
        <w:outlineLvl w:val="0"/>
        <w:rPr>
          <w:rFonts w:hint="default"/>
          <w:b w:val="1"/>
          <w:color w:val="FFFFFF"/>
          <w:sz w:val="36"/>
        </w:rPr>
      </w:pPr>
    </w:p>
    <w:p>
      <w:pPr>
        <w:pStyle w:val="0"/>
        <w:outlineLvl w:val="0"/>
        <w:rPr>
          <w:rFonts w:hint="default"/>
          <w:b w:val="1"/>
          <w:color w:val="FFFFFF"/>
          <w:sz w:val="36"/>
        </w:rPr>
      </w:pPr>
    </w:p>
    <w:p>
      <w:pPr>
        <w:pStyle w:val="0"/>
        <w:outlineLvl w:val="0"/>
        <w:rPr>
          <w:rFonts w:hint="default"/>
          <w:b w:val="1"/>
          <w:color w:val="FFFFFF"/>
          <w:sz w:val="36"/>
        </w:rPr>
      </w:pPr>
      <w:r>
        <w:rPr>
          <w:rFonts w:hint="eastAsia"/>
        </w:rPr>
        <mc:AlternateContent>
          <mc:Choice Requires="wps">
            <w:drawing>
              <wp:anchor distT="0" distB="0" distL="203200" distR="203200" simplePos="0" relativeHeight="66" behindDoc="0" locked="0" layoutInCell="1" hidden="0" allowOverlap="1">
                <wp:simplePos x="0" y="0"/>
                <wp:positionH relativeFrom="column">
                  <wp:posOffset>1668145</wp:posOffset>
                </wp:positionH>
                <wp:positionV relativeFrom="paragraph">
                  <wp:posOffset>505460</wp:posOffset>
                </wp:positionV>
                <wp:extent cx="3073400" cy="361950"/>
                <wp:effectExtent l="0" t="0" r="635" b="635"/>
                <wp:wrapNone/>
                <wp:docPr id="1087" name="オブジェクト 0"/>
                <a:graphic xmlns:a="http://schemas.openxmlformats.org/drawingml/2006/main">
                  <a:graphicData uri="http://schemas.microsoft.com/office/word/2010/wordprocessingShape">
                    <wps:wsp>
                      <wps:cNvPr id="1087" name="オブジェクト 0"/>
                      <wps:cNvSpPr/>
                      <wps:spPr>
                        <a:xfrm>
                          <a:off x="0" y="0"/>
                          <a:ext cx="3073400" cy="361950"/>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spacing w:line="220" w:lineRule="exact"/>
                              <w:jc w:val="center"/>
                              <w:rPr>
                                <w:rFonts w:hint="eastAsia"/>
                              </w:rPr>
                            </w:pPr>
                            <w:r>
                              <w:rPr>
                                <w:rFonts w:hint="eastAsia"/>
                                <w:sz w:val="18"/>
                              </w:rPr>
                              <w:t>（令和</w:t>
                            </w:r>
                            <w:r>
                              <w:rPr>
                                <w:rFonts w:hint="eastAsia"/>
                                <w:sz w:val="18"/>
                              </w:rPr>
                              <w:t>2</w:t>
                            </w:r>
                            <w:r>
                              <w:rPr>
                                <w:rFonts w:hint="eastAsia"/>
                                <w:sz w:val="18"/>
                              </w:rPr>
                              <w:t>年度在宅で生活する重度の心身障害のある方</w:t>
                            </w:r>
                          </w:p>
                          <w:p>
                            <w:pPr>
                              <w:pStyle w:val="0"/>
                              <w:spacing w:line="220" w:lineRule="exact"/>
                              <w:jc w:val="center"/>
                              <w:rPr>
                                <w:rFonts w:hint="eastAsia"/>
                              </w:rPr>
                            </w:pPr>
                            <w:r>
                              <w:rPr>
                                <w:rFonts w:hint="eastAsia"/>
                                <w:sz w:val="18"/>
                              </w:rPr>
                              <w:t>　及び日常的に医療的ケアが必要な方に関する調査）</w:t>
                            </w:r>
                          </w:p>
                          <w:p>
                            <w:pPr>
                              <w:pStyle w:val="0"/>
                              <w:jc w:val="center"/>
                              <w:rPr>
                                <w:rFonts w:hint="eastAsia"/>
                              </w:rPr>
                            </w:pPr>
                          </w:p>
                        </w:txbxContent>
                      </wps:txbx>
                      <wps:bodyPr vertOverflow="overflow" horzOverflow="overflow" wrap="square" anchor="ctr"/>
                    </wps:wsp>
                  </a:graphicData>
                </a:graphic>
              </wp:anchor>
            </w:drawing>
          </mc:Choice>
          <mc:Fallback>
            <w:pict>
              <v:rect id="オブジェクト 0" style="mso-wrap-distance-right:16pt;mso-wrap-distance-bottom:0pt;margin-top:39.79pt;mso-position-vertical-relative:text;mso-position-horizontal-relative:text;v-text-anchor:middle;position:absolute;height:28.5pt;mso-wrap-distance-top:0pt;width:242pt;mso-wrap-distance-left:16pt;margin-left:131.35pt;z-index:66;" o:spid="_x0000_s1087" o:allowincell="t" o:allowoverlap="t" filled="t" fillcolor="#ffffff [3201]" stroked="f" strokecolor="#000000 [3200]" strokeweight="1pt" o:spt="1">
                <v:fill/>
                <v:stroke linestyle="single" miterlimit="8" endcap="flat" dashstyle="solid"/>
                <v:textbox style="layout-flow:horizontal;">
                  <w:txbxContent>
                    <w:p>
                      <w:pPr>
                        <w:pStyle w:val="0"/>
                        <w:spacing w:line="220" w:lineRule="exact"/>
                        <w:jc w:val="center"/>
                        <w:rPr>
                          <w:rFonts w:hint="eastAsia"/>
                        </w:rPr>
                      </w:pPr>
                      <w:r>
                        <w:rPr>
                          <w:rFonts w:hint="eastAsia"/>
                          <w:sz w:val="18"/>
                        </w:rPr>
                        <w:t>（令和</w:t>
                      </w:r>
                      <w:r>
                        <w:rPr>
                          <w:rFonts w:hint="eastAsia"/>
                          <w:sz w:val="18"/>
                        </w:rPr>
                        <w:t>2</w:t>
                      </w:r>
                      <w:r>
                        <w:rPr>
                          <w:rFonts w:hint="eastAsia"/>
                          <w:sz w:val="18"/>
                        </w:rPr>
                        <w:t>年度在宅で生活する重度の心身障害のある方</w:t>
                      </w:r>
                    </w:p>
                    <w:p>
                      <w:pPr>
                        <w:pStyle w:val="0"/>
                        <w:spacing w:line="220" w:lineRule="exact"/>
                        <w:jc w:val="center"/>
                        <w:rPr>
                          <w:rFonts w:hint="eastAsia"/>
                        </w:rPr>
                      </w:pPr>
                      <w:r>
                        <w:rPr>
                          <w:rFonts w:hint="eastAsia"/>
                          <w:sz w:val="18"/>
                        </w:rPr>
                        <w:t>　及び日常的に医療的ケアが必要な方に関する調査）</w:t>
                      </w:r>
                    </w:p>
                    <w:p>
                      <w:pPr>
                        <w:pStyle w:val="0"/>
                        <w:jc w:val="center"/>
                        <w:rPr>
                          <w:rFonts w:hint="eastAsia"/>
                        </w:rPr>
                      </w:pPr>
                    </w:p>
                  </w:txbxContent>
                </v:textbox>
                <v:imagedata o:title=""/>
                <w10:wrap type="none" anchorx="text" anchory="text"/>
              </v:rect>
            </w:pict>
          </mc:Fallback>
        </mc:AlternateContent>
      </w:r>
    </w:p>
    <w:p>
      <w:pPr>
        <w:pStyle w:val="0"/>
        <w:outlineLvl w:val="0"/>
        <w:rPr>
          <w:rFonts w:hint="default"/>
          <w:b w:val="1"/>
          <w:color w:val="FFFFFF"/>
          <w:sz w:val="36"/>
        </w:rPr>
      </w:pPr>
    </w:p>
    <w:p>
      <w:pPr>
        <w:pStyle w:val="0"/>
        <w:outlineLvl w:val="0"/>
        <w:rPr>
          <w:rFonts w:hint="default"/>
          <w:b w:val="1"/>
          <w:color w:val="FFFFFF"/>
          <w:sz w:val="36"/>
        </w:rPr>
      </w:pPr>
    </w:p>
    <w:p>
      <w:pPr>
        <w:pStyle w:val="0"/>
        <w:outlineLvl w:val="1"/>
        <w:rPr>
          <w:rFonts w:hint="default" w:ascii="ＭＳ ゴシック" w:hAnsi="ＭＳ ゴシック" w:eastAsia="ＭＳ ゴシック"/>
          <w:sz w:val="26"/>
          <w:u w:val="single" w:color="auto"/>
        </w:rPr>
      </w:pPr>
      <w:r>
        <w:rPr>
          <w:rFonts w:hint="eastAsia" w:ascii="ＭＳ ゴシック" w:hAnsi="ＭＳ ゴシック" w:eastAsia="ＭＳ ゴシック"/>
          <w:sz w:val="26"/>
          <w:u w:val="single" w:color="auto"/>
        </w:rPr>
        <w:t>３　施策の体系</w:t>
      </w:r>
    </w:p>
    <w:tbl>
      <w:tblPr>
        <w:tblStyle w:val="11"/>
        <w:tblW w:w="9791" w:type="dxa"/>
        <w:tblInd w:w="89"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left w:w="99" w:type="dxa"/>
          <w:right w:w="99" w:type="dxa"/>
        </w:tblCellMar>
        <w:tblLook w:firstRow="0" w:lastRow="0" w:firstColumn="0" w:lastColumn="0" w:noHBand="1" w:noVBand="1" w:val="0600"/>
      </w:tblPr>
      <w:tblGrid>
        <w:gridCol w:w="1286"/>
        <w:gridCol w:w="2996"/>
        <w:gridCol w:w="5509"/>
      </w:tblGrid>
      <w:tr>
        <w:trPr>
          <w:trHeight w:val="284" w:hRule="atLeast"/>
        </w:trPr>
        <w:tc>
          <w:tcPr>
            <w:tcW w:w="1286" w:type="dxa"/>
            <w:shd w:val="clear" w:color="auto" w:fill="C0C0C0"/>
            <w:vAlign w:val="center"/>
          </w:tcPr>
          <w:p>
            <w:pPr>
              <w:pStyle w:val="0"/>
              <w:widowControl w:val="1"/>
              <w:jc w:val="center"/>
              <w:rPr>
                <w:rFonts w:hint="default" w:ascii="ＭＳ ゴシック" w:hAnsi="ＭＳ ゴシック" w:eastAsia="ＭＳ ゴシック"/>
                <w:kern w:val="0"/>
              </w:rPr>
            </w:pPr>
            <w:r>
              <w:rPr>
                <w:rFonts w:hint="eastAsia" w:ascii="ＭＳ ゴシック" w:hAnsi="ＭＳ ゴシック" w:eastAsia="ＭＳ ゴシック"/>
                <w:kern w:val="0"/>
              </w:rPr>
              <w:t>施策の柱</w:t>
            </w:r>
          </w:p>
        </w:tc>
        <w:tc>
          <w:tcPr>
            <w:tcW w:w="2996" w:type="dxa"/>
            <w:shd w:val="clear" w:color="auto" w:fill="C0C0C0"/>
            <w:vAlign w:val="center"/>
          </w:tcPr>
          <w:p>
            <w:pPr>
              <w:pStyle w:val="0"/>
              <w:widowControl w:val="1"/>
              <w:jc w:val="center"/>
              <w:rPr>
                <w:rFonts w:hint="default" w:ascii="ＭＳ ゴシック" w:hAnsi="ＭＳ ゴシック" w:eastAsia="ＭＳ ゴシック"/>
                <w:kern w:val="0"/>
              </w:rPr>
            </w:pPr>
            <w:r>
              <w:rPr>
                <w:rFonts w:hint="eastAsia" w:ascii="ＭＳ ゴシック" w:hAnsi="ＭＳ ゴシック" w:eastAsia="ＭＳ ゴシック"/>
                <w:kern w:val="0"/>
              </w:rPr>
              <w:t>施策の方向性</w:t>
            </w:r>
          </w:p>
        </w:tc>
        <w:tc>
          <w:tcPr>
            <w:tcW w:w="5509" w:type="dxa"/>
            <w:shd w:val="clear" w:color="auto" w:fill="C0C0C0"/>
            <w:vAlign w:val="center"/>
          </w:tcPr>
          <w:p>
            <w:pPr>
              <w:pStyle w:val="0"/>
              <w:widowControl w:val="1"/>
              <w:jc w:val="center"/>
              <w:rPr>
                <w:rFonts w:hint="default" w:ascii="ＭＳ ゴシック" w:hAnsi="ＭＳ ゴシック" w:eastAsia="ＭＳ ゴシック"/>
                <w:kern w:val="0"/>
              </w:rPr>
            </w:pPr>
            <w:r>
              <w:rPr>
                <w:rFonts w:hint="eastAsia" w:ascii="ＭＳ ゴシック" w:hAnsi="ＭＳ ゴシック" w:eastAsia="ＭＳ ゴシック"/>
                <w:kern w:val="0"/>
              </w:rPr>
              <w:t>具体的な施策の内容</w:t>
            </w:r>
          </w:p>
        </w:tc>
      </w:tr>
      <w:tr>
        <w:trPr>
          <w:trHeight w:val="2582" w:hRule="atLeast"/>
        </w:trPr>
        <w:tc>
          <w:tcPr>
            <w:tcW w:w="1286" w:type="dxa"/>
            <w:vMerge w:val="restart"/>
            <w:shd w:val="clear" w:color="auto" w:fill="auto"/>
            <w:textDirection w:val="tbRlV"/>
            <w:vAlign w:val="center"/>
          </w:tcPr>
          <w:p>
            <w:pPr>
              <w:pStyle w:val="0"/>
              <w:widowControl w:val="1"/>
              <w:ind w:left="480" w:right="113" w:hanging="480" w:hangingChars="200"/>
              <w:jc w:val="center"/>
              <w:rPr>
                <w:rFonts w:hint="default"/>
                <w:kern w:val="0"/>
              </w:rPr>
            </w:pPr>
            <w:r>
              <w:rPr>
                <w:rFonts w:hint="eastAsia"/>
                <w:kern w:val="0"/>
              </w:rPr>
              <w:t>Ⅰ　障害に対する理解と相互交流の促進</w:t>
            </w:r>
          </w:p>
        </w:tc>
        <w:tc>
          <w:tcPr>
            <w:tcW w:w="2996" w:type="dxa"/>
            <w:shd w:val="clear" w:color="auto" w:fill="auto"/>
            <w:vAlign w:val="center"/>
          </w:tcPr>
          <w:p>
            <w:pPr>
              <w:pStyle w:val="0"/>
              <w:widowControl w:val="1"/>
              <w:spacing w:line="360" w:lineRule="exact"/>
              <w:ind w:left="480" w:hanging="480" w:hangingChars="200"/>
              <w:jc w:val="left"/>
              <w:rPr>
                <w:rFonts w:hint="default"/>
                <w:kern w:val="0"/>
              </w:rPr>
            </w:pPr>
            <w:r>
              <w:rPr>
                <w:rFonts w:hint="eastAsia"/>
                <w:kern w:val="0"/>
              </w:rPr>
              <w:t>１　障害者差別解消条例に基づく不当な差別の禁止と合理的配慮</w:t>
            </w:r>
            <w:r>
              <w:rPr>
                <w:rFonts w:hint="eastAsia"/>
                <w:color w:val="000000" w:themeColor="text1"/>
                <w:spacing w:val="-4"/>
                <w:kern w:val="0"/>
                <w:vertAlign w:val="superscript"/>
              </w:rPr>
              <w:t>＊</w:t>
            </w:r>
            <w:r>
              <w:rPr>
                <w:rFonts w:hint="eastAsia"/>
                <w:kern w:val="0"/>
              </w:rPr>
              <w:t>の提供の推進</w:t>
            </w:r>
          </w:p>
        </w:tc>
        <w:tc>
          <w:tcPr>
            <w:tcW w:w="5509" w:type="dxa"/>
            <w:shd w:val="clear" w:color="auto" w:fill="auto"/>
            <w:vAlign w:val="center"/>
          </w:tcPr>
          <w:p>
            <w:pPr>
              <w:pStyle w:val="0"/>
              <w:widowControl w:val="1"/>
              <w:spacing w:line="360" w:lineRule="exact"/>
              <w:rPr>
                <w:rFonts w:hint="default"/>
                <w:kern w:val="0"/>
              </w:rPr>
            </w:pPr>
            <w:r>
              <w:rPr>
                <w:rFonts w:hint="eastAsia"/>
                <w:kern w:val="0"/>
              </w:rPr>
              <w:t>（１）差別解消の推進</w:t>
            </w:r>
          </w:p>
          <w:p>
            <w:pPr>
              <w:pStyle w:val="0"/>
              <w:widowControl w:val="1"/>
              <w:spacing w:line="360" w:lineRule="exact"/>
              <w:rPr>
                <w:rFonts w:hint="default"/>
                <w:kern w:val="0"/>
              </w:rPr>
            </w:pPr>
            <w:r>
              <w:rPr>
                <w:rFonts w:hint="eastAsia"/>
                <w:kern w:val="0"/>
              </w:rPr>
              <w:t>（２）権利擁護の推進</w:t>
            </w:r>
          </w:p>
          <w:p>
            <w:pPr>
              <w:pStyle w:val="0"/>
              <w:widowControl w:val="1"/>
              <w:spacing w:line="360" w:lineRule="exact"/>
              <w:rPr>
                <w:rFonts w:hint="default"/>
                <w:kern w:val="0"/>
              </w:rPr>
            </w:pPr>
            <w:r>
              <w:rPr>
                <w:rFonts w:hint="eastAsia"/>
                <w:kern w:val="0"/>
              </w:rPr>
              <w:t>（３）虐待防止対策の推進</w:t>
            </w:r>
          </w:p>
          <w:p>
            <w:pPr>
              <w:pStyle w:val="0"/>
              <w:widowControl w:val="1"/>
              <w:spacing w:line="360" w:lineRule="exact"/>
              <w:rPr>
                <w:rFonts w:hint="default"/>
                <w:kern w:val="0"/>
              </w:rPr>
            </w:pPr>
            <w:r>
              <w:rPr>
                <w:rFonts w:hint="eastAsia"/>
                <w:kern w:val="0"/>
              </w:rPr>
              <w:t>（４）福祉教育・地域交流の推進</w:t>
            </w:r>
          </w:p>
          <w:p>
            <w:pPr>
              <w:pStyle w:val="0"/>
              <w:widowControl w:val="1"/>
              <w:spacing w:line="360" w:lineRule="exact"/>
              <w:rPr>
                <w:rFonts w:hint="default"/>
                <w:kern w:val="0"/>
              </w:rPr>
            </w:pPr>
            <w:r>
              <w:rPr>
                <w:rFonts w:hint="eastAsia"/>
                <w:kern w:val="0"/>
              </w:rPr>
              <w:t>（５）関係団体等との協働の推進</w:t>
            </w:r>
          </w:p>
          <w:p>
            <w:pPr>
              <w:pStyle w:val="0"/>
              <w:widowControl w:val="1"/>
              <w:spacing w:line="360" w:lineRule="exact"/>
              <w:rPr>
                <w:rFonts w:hint="default"/>
                <w:kern w:val="0"/>
              </w:rPr>
            </w:pPr>
            <w:r>
              <w:rPr>
                <w:rFonts w:hint="eastAsia"/>
                <w:kern w:val="0"/>
              </w:rPr>
              <w:t>（６）投票しやすい環境の整備</w:t>
            </w:r>
          </w:p>
        </w:tc>
      </w:tr>
      <w:tr>
        <w:trPr>
          <w:trHeight w:val="890" w:hRule="atLeast"/>
        </w:trPr>
        <w:tc>
          <w:tcPr>
            <w:tcW w:w="1286" w:type="dxa"/>
            <w:vMerge w:val="continue"/>
            <w:shd w:val="clear" w:color="auto" w:fill="auto"/>
            <w:vAlign w:val="center"/>
          </w:tcPr>
          <w:p>
            <w:pPr>
              <w:pStyle w:val="0"/>
              <w:rPr>
                <w:rFonts w:hint="default"/>
                <w:kern w:val="0"/>
              </w:rPr>
            </w:pPr>
          </w:p>
        </w:tc>
        <w:tc>
          <w:tcPr>
            <w:tcW w:w="2996" w:type="dxa"/>
            <w:shd w:val="clear" w:color="auto" w:fill="auto"/>
            <w:vAlign w:val="center"/>
          </w:tcPr>
          <w:p>
            <w:pPr>
              <w:pStyle w:val="0"/>
              <w:widowControl w:val="1"/>
              <w:spacing w:line="360" w:lineRule="exact"/>
              <w:ind w:left="480" w:hanging="480" w:hangingChars="200"/>
              <w:jc w:val="left"/>
              <w:rPr>
                <w:rFonts w:hint="default"/>
                <w:kern w:val="0"/>
              </w:rPr>
            </w:pPr>
            <w:r>
              <w:rPr>
                <w:rFonts w:hint="eastAsia"/>
                <w:kern w:val="0"/>
              </w:rPr>
              <w:t>２　情報保障の推進</w:t>
            </w:r>
          </w:p>
        </w:tc>
        <w:tc>
          <w:tcPr>
            <w:tcW w:w="5509" w:type="dxa"/>
            <w:shd w:val="clear" w:color="auto" w:fill="auto"/>
            <w:vAlign w:val="center"/>
          </w:tcPr>
          <w:p>
            <w:pPr>
              <w:pStyle w:val="0"/>
              <w:spacing w:line="360" w:lineRule="exact"/>
              <w:rPr>
                <w:rFonts w:hint="default"/>
                <w:kern w:val="0"/>
              </w:rPr>
            </w:pPr>
            <w:r>
              <w:rPr>
                <w:rFonts w:hint="eastAsia"/>
                <w:kern w:val="0"/>
              </w:rPr>
              <w:t>（１）情報保障の推進</w:t>
            </w:r>
          </w:p>
        </w:tc>
      </w:tr>
      <w:tr>
        <w:trPr>
          <w:trHeight w:val="1242" w:hRule="atLeast"/>
        </w:trPr>
        <w:tc>
          <w:tcPr>
            <w:tcW w:w="1286" w:type="dxa"/>
            <w:vMerge w:val="continue"/>
            <w:shd w:val="clear" w:color="auto" w:fill="auto"/>
            <w:vAlign w:val="center"/>
          </w:tcPr>
          <w:p>
            <w:pPr>
              <w:pStyle w:val="0"/>
              <w:rPr>
                <w:rFonts w:hint="default"/>
              </w:rPr>
            </w:pPr>
          </w:p>
        </w:tc>
        <w:tc>
          <w:tcPr>
            <w:tcW w:w="2996" w:type="dxa"/>
            <w:shd w:val="clear" w:color="auto" w:fill="auto"/>
            <w:vAlign w:val="center"/>
          </w:tcPr>
          <w:p>
            <w:pPr>
              <w:pStyle w:val="0"/>
              <w:spacing w:line="360" w:lineRule="exact"/>
              <w:ind w:left="480" w:hanging="480" w:hangingChars="200"/>
              <w:rPr>
                <w:rFonts w:hint="default"/>
              </w:rPr>
            </w:pPr>
            <w:r>
              <w:rPr>
                <w:rFonts w:hint="eastAsia"/>
                <w:kern w:val="0"/>
              </w:rPr>
              <w:t>３　</w:t>
            </w:r>
            <w:r>
              <w:rPr>
                <w:rFonts w:hint="eastAsia"/>
                <w:color w:val="auto"/>
                <w:kern w:val="0"/>
                <w:u w:val="none" w:color="auto"/>
              </w:rPr>
              <w:t>障害者スポーツと文化芸術活動の振興</w:t>
            </w:r>
          </w:p>
        </w:tc>
        <w:tc>
          <w:tcPr>
            <w:tcW w:w="5509" w:type="dxa"/>
            <w:shd w:val="clear" w:color="auto" w:fill="auto"/>
            <w:vAlign w:val="center"/>
          </w:tcPr>
          <w:p>
            <w:pPr>
              <w:pStyle w:val="0"/>
              <w:widowControl w:val="1"/>
              <w:spacing w:line="360" w:lineRule="exact"/>
              <w:rPr>
                <w:rFonts w:hint="default"/>
                <w:kern w:val="0"/>
              </w:rPr>
            </w:pPr>
            <w:r>
              <w:rPr>
                <w:rFonts w:hint="eastAsia"/>
                <w:kern w:val="0"/>
              </w:rPr>
              <w:t>（１）障害者スポーツの振興</w:t>
            </w:r>
          </w:p>
          <w:p>
            <w:pPr>
              <w:pStyle w:val="0"/>
              <w:widowControl w:val="1"/>
              <w:spacing w:line="360" w:lineRule="exact"/>
              <w:jc w:val="left"/>
              <w:rPr>
                <w:rFonts w:hint="default"/>
              </w:rPr>
            </w:pPr>
            <w:r>
              <w:rPr>
                <w:rFonts w:hint="eastAsia"/>
                <w:kern w:val="0"/>
              </w:rPr>
              <w:t>（２）文化芸術活動の振興</w:t>
            </w:r>
          </w:p>
        </w:tc>
      </w:tr>
      <w:tr>
        <w:trPr>
          <w:trHeight w:val="1084" w:hRule="atLeast"/>
        </w:trPr>
        <w:tc>
          <w:tcPr>
            <w:tcW w:w="1286" w:type="dxa"/>
            <w:vMerge w:val="restart"/>
            <w:shd w:val="clear" w:color="auto" w:fill="auto"/>
            <w:textDirection w:val="tbRlV"/>
            <w:vAlign w:val="center"/>
          </w:tcPr>
          <w:p>
            <w:pPr>
              <w:pStyle w:val="0"/>
              <w:ind w:left="480" w:right="113" w:hanging="480" w:hangingChars="200"/>
              <w:jc w:val="center"/>
              <w:rPr>
                <w:rFonts w:hint="default"/>
                <w:kern w:val="0"/>
              </w:rPr>
            </w:pPr>
            <w:r>
              <w:rPr>
                <w:rFonts w:hint="eastAsia"/>
                <w:kern w:val="0"/>
              </w:rPr>
              <w:t>　Ⅱ　地域における自立を支える体制づくり</w:t>
            </w:r>
          </w:p>
        </w:tc>
        <w:tc>
          <w:tcPr>
            <w:tcW w:w="299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spacing w:line="360" w:lineRule="exact"/>
              <w:ind w:left="480" w:hanging="480" w:hangingChars="200"/>
              <w:jc w:val="left"/>
              <w:rPr>
                <w:rFonts w:hint="default"/>
                <w:kern w:val="0"/>
              </w:rPr>
            </w:pPr>
            <w:r>
              <w:rPr>
                <w:rFonts w:hint="eastAsia"/>
                <w:kern w:val="0"/>
              </w:rPr>
              <w:t>１　身近な相談支援体制整備の推進</w:t>
            </w:r>
          </w:p>
        </w:tc>
        <w:tc>
          <w:tcPr>
            <w:tcW w:w="550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spacing w:line="360" w:lineRule="exact"/>
              <w:rPr>
                <w:rFonts w:hint="default"/>
                <w:kern w:val="0"/>
              </w:rPr>
            </w:pPr>
            <w:r>
              <w:rPr>
                <w:rFonts w:hint="eastAsia"/>
                <w:kern w:val="0"/>
              </w:rPr>
              <w:t>（１）相談支援の充実</w:t>
            </w:r>
          </w:p>
          <w:p>
            <w:pPr>
              <w:pStyle w:val="0"/>
              <w:widowControl w:val="1"/>
              <w:spacing w:line="360" w:lineRule="exact"/>
              <w:jc w:val="left"/>
              <w:rPr>
                <w:rFonts w:hint="default"/>
                <w:kern w:val="0"/>
              </w:rPr>
            </w:pPr>
            <w:r>
              <w:rPr>
                <w:rFonts w:hint="eastAsia"/>
                <w:kern w:val="0"/>
              </w:rPr>
              <w:t>（２）相談支援従事者等の人材育成</w:t>
            </w:r>
          </w:p>
        </w:tc>
      </w:tr>
      <w:tr>
        <w:trPr>
          <w:trHeight w:val="2864" w:hRule="atLeast"/>
        </w:trPr>
        <w:tc>
          <w:tcPr>
            <w:tcW w:w="1286" w:type="dxa"/>
            <w:vMerge w:val="continue"/>
            <w:shd w:val="clear" w:color="auto" w:fill="auto"/>
            <w:vAlign w:val="center"/>
          </w:tcPr>
          <w:p>
            <w:pPr>
              <w:pStyle w:val="0"/>
              <w:ind w:left="480" w:hanging="480" w:hangingChars="200"/>
              <w:jc w:val="left"/>
              <w:rPr>
                <w:rFonts w:hint="default"/>
                <w:kern w:val="0"/>
              </w:rPr>
            </w:pPr>
          </w:p>
        </w:tc>
        <w:tc>
          <w:tcPr>
            <w:tcW w:w="2996"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60" w:lineRule="exact"/>
              <w:ind w:left="480" w:hanging="480" w:hangingChars="200"/>
              <w:jc w:val="left"/>
              <w:rPr>
                <w:rFonts w:hint="default"/>
                <w:kern w:val="0"/>
              </w:rPr>
            </w:pPr>
            <w:r>
              <w:rPr>
                <w:rFonts w:hint="eastAsia"/>
                <w:kern w:val="0"/>
              </w:rPr>
              <w:t>２　暮らしを支える福祉サービスの充実</w:t>
            </w:r>
          </w:p>
        </w:tc>
        <w:tc>
          <w:tcPr>
            <w:tcW w:w="5509"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360" w:lineRule="exact"/>
              <w:rPr>
                <w:rFonts w:hint="default"/>
                <w:kern w:val="0"/>
              </w:rPr>
            </w:pPr>
            <w:r>
              <w:rPr>
                <w:rFonts w:hint="eastAsia"/>
                <w:kern w:val="0"/>
              </w:rPr>
              <w:t>（１）地域での支え合い活動の推進</w:t>
            </w:r>
          </w:p>
          <w:p>
            <w:pPr>
              <w:pStyle w:val="0"/>
              <w:widowControl w:val="1"/>
              <w:spacing w:line="360" w:lineRule="exact"/>
              <w:ind w:left="360" w:hanging="360" w:hangingChars="150"/>
              <w:rPr>
                <w:rFonts w:hint="default"/>
                <w:kern w:val="0"/>
              </w:rPr>
            </w:pPr>
            <w:r>
              <w:rPr>
                <w:rFonts w:hint="eastAsia"/>
                <w:kern w:val="0"/>
              </w:rPr>
              <w:t>（２）介護保険制度</w:t>
            </w:r>
            <w:r>
              <w:rPr>
                <w:rFonts w:hint="eastAsia"/>
                <w:color w:val="000000" w:themeColor="text1"/>
                <w:spacing w:val="-4"/>
                <w:kern w:val="0"/>
                <w:vertAlign w:val="superscript"/>
              </w:rPr>
              <w:t>＊</w:t>
            </w:r>
            <w:r>
              <w:rPr>
                <w:rFonts w:hint="eastAsia"/>
                <w:kern w:val="0"/>
              </w:rPr>
              <w:t>との連携</w:t>
            </w:r>
          </w:p>
          <w:p>
            <w:pPr>
              <w:pStyle w:val="0"/>
              <w:widowControl w:val="1"/>
              <w:spacing w:line="360" w:lineRule="exact"/>
              <w:ind w:left="360" w:hanging="360" w:hangingChars="150"/>
              <w:rPr>
                <w:rFonts w:hint="default"/>
                <w:kern w:val="0"/>
              </w:rPr>
            </w:pPr>
            <w:r>
              <w:rPr>
                <w:rFonts w:hint="eastAsia"/>
                <w:kern w:val="0"/>
              </w:rPr>
              <w:t>（３）福祉人材の養成・確保</w:t>
            </w:r>
          </w:p>
          <w:p>
            <w:pPr>
              <w:pStyle w:val="0"/>
              <w:widowControl w:val="1"/>
              <w:spacing w:line="360" w:lineRule="exact"/>
              <w:rPr>
                <w:rFonts w:hint="default"/>
                <w:kern w:val="0"/>
              </w:rPr>
            </w:pPr>
            <w:r>
              <w:rPr>
                <w:rFonts w:hint="eastAsia"/>
                <w:kern w:val="0"/>
              </w:rPr>
              <w:t>（４）適切なサービスの確保</w:t>
            </w:r>
          </w:p>
          <w:p>
            <w:pPr>
              <w:pStyle w:val="0"/>
              <w:widowControl w:val="1"/>
              <w:spacing w:line="360" w:lineRule="exact"/>
              <w:ind w:left="720" w:hanging="720" w:hangingChars="300"/>
              <w:rPr>
                <w:rFonts w:hint="default"/>
                <w:kern w:val="0"/>
              </w:rPr>
            </w:pPr>
            <w:r>
              <w:rPr>
                <w:rFonts w:hint="eastAsia"/>
                <w:kern w:val="0"/>
              </w:rPr>
              <w:t>（５）施設サービスの充実</w:t>
            </w:r>
          </w:p>
          <w:p>
            <w:pPr>
              <w:pStyle w:val="0"/>
              <w:widowControl w:val="1"/>
              <w:spacing w:line="360" w:lineRule="exact"/>
              <w:ind w:left="720" w:hanging="720" w:hangingChars="300"/>
              <w:rPr>
                <w:rFonts w:hint="default"/>
                <w:kern w:val="0"/>
              </w:rPr>
            </w:pPr>
            <w:r>
              <w:rPr>
                <w:rFonts w:hint="eastAsia"/>
                <w:kern w:val="0"/>
              </w:rPr>
              <w:t>（６）福祉用具・身体障害者補助犬</w:t>
            </w:r>
            <w:r>
              <w:rPr>
                <w:rFonts w:hint="eastAsia"/>
                <w:spacing w:val="-4"/>
                <w:kern w:val="0"/>
                <w:vertAlign w:val="superscript"/>
              </w:rPr>
              <w:t>＊</w:t>
            </w:r>
            <w:r>
              <w:rPr>
                <w:rFonts w:hint="eastAsia"/>
                <w:kern w:val="0"/>
              </w:rPr>
              <w:t>の普及・拡充</w:t>
            </w:r>
          </w:p>
          <w:p>
            <w:pPr>
              <w:pStyle w:val="0"/>
              <w:widowControl w:val="1"/>
              <w:spacing w:line="360" w:lineRule="exact"/>
              <w:ind w:left="360" w:hanging="360" w:hangingChars="150"/>
              <w:rPr>
                <w:rFonts w:hint="default"/>
                <w:kern w:val="0"/>
              </w:rPr>
            </w:pPr>
            <w:r>
              <w:rPr>
                <w:rFonts w:hint="eastAsia"/>
                <w:kern w:val="0"/>
              </w:rPr>
              <w:t>（７）経済的支援制度の充実と普及・啓発</w:t>
            </w:r>
          </w:p>
        </w:tc>
      </w:tr>
      <w:tr>
        <w:trPr>
          <w:trHeight w:val="2317" w:hRule="atLeast"/>
        </w:trPr>
        <w:tc>
          <w:tcPr>
            <w:tcW w:w="1286" w:type="dxa"/>
            <w:vMerge w:val="continue"/>
            <w:shd w:val="clear" w:color="auto" w:fill="auto"/>
            <w:textDirection w:val="tbRlV"/>
            <w:vAlign w:val="center"/>
          </w:tcPr>
          <w:p>
            <w:pPr>
              <w:pStyle w:val="0"/>
              <w:rPr>
                <w:rFonts w:hint="eastAsia"/>
              </w:rPr>
            </w:pPr>
          </w:p>
        </w:tc>
        <w:tc>
          <w:tcPr>
            <w:tcW w:w="2996"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360" w:lineRule="exact"/>
              <w:ind w:left="480" w:hanging="480" w:hangingChars="200"/>
              <w:jc w:val="left"/>
              <w:rPr>
                <w:rFonts w:hint="default"/>
                <w:kern w:val="0"/>
              </w:rPr>
            </w:pPr>
            <w:r>
              <w:rPr>
                <w:rFonts w:hint="eastAsia"/>
                <w:kern w:val="0"/>
              </w:rPr>
              <w:t>３　施設や病院から地域生活への移行の促進</w:t>
            </w:r>
          </w:p>
        </w:tc>
        <w:tc>
          <w:tcPr>
            <w:tcW w:w="5509"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360" w:lineRule="exact"/>
              <w:ind w:left="720" w:hanging="720" w:hangingChars="300"/>
              <w:rPr>
                <w:rFonts w:hint="default"/>
                <w:kern w:val="0"/>
              </w:rPr>
            </w:pPr>
            <w:r>
              <w:rPr>
                <w:rFonts w:hint="eastAsia"/>
                <w:kern w:val="0"/>
              </w:rPr>
              <w:t>（１）訪問系・日中活動系サービスの充実</w:t>
            </w:r>
          </w:p>
          <w:p>
            <w:pPr>
              <w:pStyle w:val="0"/>
              <w:widowControl w:val="1"/>
              <w:spacing w:line="360" w:lineRule="exact"/>
              <w:ind w:left="360" w:hanging="360" w:hangingChars="150"/>
              <w:rPr>
                <w:rFonts w:hint="default"/>
                <w:kern w:val="0"/>
              </w:rPr>
            </w:pPr>
            <w:r>
              <w:rPr>
                <w:rFonts w:hint="eastAsia"/>
                <w:kern w:val="0"/>
              </w:rPr>
              <w:t>（２）居住の場の充実</w:t>
            </w:r>
          </w:p>
          <w:p>
            <w:pPr>
              <w:pStyle w:val="0"/>
              <w:widowControl w:val="1"/>
              <w:spacing w:line="360" w:lineRule="exact"/>
              <w:ind w:left="720" w:hanging="720" w:hangingChars="300"/>
              <w:rPr>
                <w:rFonts w:hint="default"/>
                <w:kern w:val="0"/>
              </w:rPr>
            </w:pPr>
            <w:r>
              <w:rPr>
                <w:rFonts w:hint="eastAsia"/>
                <w:kern w:val="0"/>
              </w:rPr>
              <w:t>（３）精神障害のある人の地域移</w:t>
            </w:r>
            <w:r>
              <w:rPr>
                <w:rFonts w:hint="eastAsia"/>
                <w:color w:val="auto"/>
                <w:kern w:val="0"/>
              </w:rPr>
              <w:t>行の促進</w:t>
            </w:r>
          </w:p>
          <w:p>
            <w:pPr>
              <w:pStyle w:val="0"/>
              <w:widowControl w:val="1"/>
              <w:spacing w:line="360" w:lineRule="exact"/>
              <w:ind w:left="720" w:hanging="720" w:hangingChars="300"/>
              <w:rPr>
                <w:rFonts w:hint="default"/>
                <w:kern w:val="0"/>
              </w:rPr>
            </w:pPr>
            <w:r>
              <w:rPr>
                <w:rFonts w:hint="eastAsia"/>
                <w:kern w:val="0"/>
              </w:rPr>
              <w:t>（４）矯正施設</w:t>
            </w:r>
            <w:r>
              <w:rPr>
                <w:rFonts w:hint="eastAsia"/>
                <w:color w:val="000000" w:themeColor="text1"/>
                <w:spacing w:val="-4"/>
                <w:kern w:val="0"/>
                <w:vertAlign w:val="superscript"/>
              </w:rPr>
              <w:t>＊</w:t>
            </w:r>
            <w:r>
              <w:rPr>
                <w:rFonts w:hint="eastAsia"/>
                <w:kern w:val="0"/>
              </w:rPr>
              <w:t>退所障害者に対する社会復帰支援の充実</w:t>
            </w:r>
          </w:p>
        </w:tc>
      </w:tr>
      <w:tr>
        <w:trPr>
          <w:trHeight w:val="2187" w:hRule="atLeast"/>
        </w:trPr>
        <w:tc>
          <w:tcPr>
            <w:tcW w:w="1286" w:type="dxa"/>
            <w:vMerge w:val="continue"/>
            <w:shd w:val="clear" w:color="auto" w:fill="auto"/>
            <w:textDirection w:val="tbRlV"/>
            <w:vAlign w:val="center"/>
          </w:tcPr>
          <w:p>
            <w:pPr>
              <w:pStyle w:val="0"/>
              <w:rPr>
                <w:rFonts w:hint="eastAsia"/>
              </w:rPr>
            </w:pPr>
          </w:p>
        </w:tc>
        <w:tc>
          <w:tcPr>
            <w:tcW w:w="2996" w:type="dxa"/>
            <w:shd w:val="clear" w:color="auto" w:fill="auto"/>
            <w:vAlign w:val="center"/>
          </w:tcPr>
          <w:p>
            <w:pPr>
              <w:pStyle w:val="0"/>
              <w:widowControl w:val="1"/>
              <w:spacing w:line="360" w:lineRule="exact"/>
              <w:ind w:left="480" w:hanging="480" w:hangingChars="200"/>
              <w:jc w:val="left"/>
              <w:rPr>
                <w:rFonts w:hint="default"/>
                <w:kern w:val="0"/>
              </w:rPr>
            </w:pPr>
            <w:r>
              <w:rPr>
                <w:rFonts w:hint="eastAsia"/>
                <w:kern w:val="0"/>
              </w:rPr>
              <w:t>４　一人ひとりの特性に応じた就労の促進</w:t>
            </w:r>
          </w:p>
        </w:tc>
        <w:tc>
          <w:tcPr>
            <w:tcW w:w="5509" w:type="dxa"/>
            <w:shd w:val="clear" w:color="auto" w:fill="auto"/>
            <w:vAlign w:val="center"/>
          </w:tcPr>
          <w:p>
            <w:pPr>
              <w:pStyle w:val="0"/>
              <w:widowControl w:val="1"/>
              <w:spacing w:line="360" w:lineRule="exact"/>
              <w:rPr>
                <w:rFonts w:hint="default"/>
                <w:kern w:val="0"/>
              </w:rPr>
            </w:pPr>
            <w:r>
              <w:rPr>
                <w:rFonts w:hint="eastAsia"/>
                <w:kern w:val="0"/>
              </w:rPr>
              <w:t>（１）一般就労への支援</w:t>
            </w:r>
          </w:p>
          <w:p>
            <w:pPr>
              <w:pStyle w:val="0"/>
              <w:widowControl w:val="1"/>
              <w:spacing w:line="360" w:lineRule="exact"/>
              <w:rPr>
                <w:rFonts w:hint="default"/>
                <w:kern w:val="0"/>
              </w:rPr>
            </w:pPr>
            <w:r>
              <w:rPr>
                <w:rFonts w:hint="eastAsia"/>
                <w:kern w:val="0"/>
              </w:rPr>
              <w:t>（２）障害のある人の雇用の推進</w:t>
            </w:r>
          </w:p>
          <w:p>
            <w:pPr>
              <w:pStyle w:val="0"/>
              <w:widowControl w:val="1"/>
              <w:spacing w:line="360" w:lineRule="exact"/>
              <w:rPr>
                <w:rFonts w:hint="default"/>
                <w:kern w:val="0"/>
              </w:rPr>
            </w:pPr>
            <w:r>
              <w:rPr>
                <w:rFonts w:hint="eastAsia"/>
                <w:kern w:val="0"/>
              </w:rPr>
              <w:t>（３）職場定着の支援</w:t>
            </w:r>
          </w:p>
          <w:p>
            <w:pPr>
              <w:pStyle w:val="0"/>
              <w:widowControl w:val="1"/>
              <w:spacing w:line="360" w:lineRule="exact"/>
              <w:rPr>
                <w:rFonts w:hint="default"/>
                <w:kern w:val="0"/>
              </w:rPr>
            </w:pPr>
            <w:r>
              <w:rPr>
                <w:rFonts w:hint="eastAsia"/>
                <w:kern w:val="0"/>
              </w:rPr>
              <w:t>（４）福祉的就労への支援</w:t>
            </w:r>
          </w:p>
          <w:p>
            <w:pPr>
              <w:pStyle w:val="0"/>
              <w:widowControl w:val="1"/>
              <w:spacing w:line="360" w:lineRule="exact"/>
              <w:jc w:val="left"/>
              <w:rPr>
                <w:rFonts w:hint="default"/>
                <w:kern w:val="0"/>
              </w:rPr>
            </w:pPr>
            <w:r>
              <w:rPr>
                <w:rFonts w:hint="eastAsia"/>
                <w:kern w:val="0"/>
              </w:rPr>
              <w:t>（５）物品及び役務サービスの優先調達の推進</w:t>
            </w:r>
          </w:p>
        </w:tc>
      </w:tr>
      <w:tr>
        <w:trPr>
          <w:trHeight w:val="2464" w:hRule="atLeast"/>
        </w:trPr>
        <w:tc>
          <w:tcPr>
            <w:tcW w:w="1286" w:type="dxa"/>
            <w:vMerge w:val="continue"/>
            <w:shd w:val="clear" w:color="auto" w:fill="auto"/>
            <w:textDirection w:val="tbRlV"/>
            <w:vAlign w:val="center"/>
          </w:tcPr>
          <w:p>
            <w:pPr>
              <w:pStyle w:val="0"/>
              <w:ind w:left="480" w:right="113" w:hanging="480" w:hangingChars="200"/>
              <w:jc w:val="center"/>
              <w:rPr>
                <w:rFonts w:hint="default"/>
                <w:kern w:val="0"/>
              </w:rPr>
            </w:pPr>
          </w:p>
        </w:tc>
        <w:tc>
          <w:tcPr>
            <w:tcW w:w="2996" w:type="dxa"/>
            <w:shd w:val="clear" w:color="auto" w:fill="auto"/>
            <w:vAlign w:val="center"/>
          </w:tcPr>
          <w:p>
            <w:pPr>
              <w:pStyle w:val="0"/>
              <w:widowControl w:val="1"/>
              <w:spacing w:line="360" w:lineRule="exact"/>
              <w:ind w:left="480" w:hanging="480" w:hangingChars="200"/>
              <w:jc w:val="left"/>
              <w:rPr>
                <w:rFonts w:hint="default"/>
                <w:kern w:val="0"/>
              </w:rPr>
            </w:pPr>
            <w:r>
              <w:rPr>
                <w:rFonts w:hint="eastAsia"/>
                <w:kern w:val="0"/>
              </w:rPr>
              <w:t>５　地域での保健・医療体制の充実</w:t>
            </w:r>
          </w:p>
        </w:tc>
        <w:tc>
          <w:tcPr>
            <w:tcW w:w="5509" w:type="dxa"/>
            <w:shd w:val="clear" w:color="auto" w:fill="auto"/>
            <w:vAlign w:val="center"/>
          </w:tcPr>
          <w:p>
            <w:pPr>
              <w:pStyle w:val="0"/>
              <w:widowControl w:val="1"/>
              <w:spacing w:line="360" w:lineRule="exact"/>
              <w:rPr>
                <w:rFonts w:hint="default"/>
                <w:kern w:val="0"/>
              </w:rPr>
            </w:pPr>
            <w:r>
              <w:rPr>
                <w:rFonts w:hint="eastAsia"/>
                <w:kern w:val="0"/>
              </w:rPr>
              <w:t>（１）健康づくりの推進</w:t>
            </w:r>
          </w:p>
          <w:p>
            <w:pPr>
              <w:pStyle w:val="0"/>
              <w:widowControl w:val="1"/>
              <w:spacing w:line="360" w:lineRule="exact"/>
              <w:ind w:left="720" w:hanging="720" w:hangingChars="300"/>
              <w:rPr>
                <w:rFonts w:hint="default"/>
                <w:kern w:val="0"/>
              </w:rPr>
            </w:pPr>
            <w:r>
              <w:rPr>
                <w:rFonts w:hint="eastAsia"/>
                <w:kern w:val="0"/>
              </w:rPr>
              <w:t>（２）自殺総合対策の推進</w:t>
            </w:r>
          </w:p>
          <w:p>
            <w:pPr>
              <w:pStyle w:val="0"/>
              <w:widowControl w:val="1"/>
              <w:spacing w:line="360" w:lineRule="exact"/>
              <w:ind w:left="720" w:hanging="720" w:hangingChars="300"/>
              <w:rPr>
                <w:rFonts w:hint="default"/>
                <w:kern w:val="0"/>
              </w:rPr>
            </w:pPr>
            <w:r>
              <w:rPr>
                <w:rFonts w:hint="eastAsia"/>
                <w:kern w:val="0"/>
              </w:rPr>
              <w:t>（３）ひきこもり</w:t>
            </w:r>
            <w:r>
              <w:rPr>
                <w:rFonts w:hint="eastAsia"/>
                <w:spacing w:val="-4"/>
                <w:kern w:val="0"/>
                <w:vertAlign w:val="superscript"/>
              </w:rPr>
              <w:t>＊</w:t>
            </w:r>
            <w:r>
              <w:rPr>
                <w:rFonts w:hint="eastAsia"/>
                <w:kern w:val="0"/>
              </w:rPr>
              <w:t>の状態にある人に対する支援の充実</w:t>
            </w:r>
          </w:p>
          <w:p>
            <w:pPr>
              <w:pStyle w:val="0"/>
              <w:widowControl w:val="1"/>
              <w:spacing w:line="360" w:lineRule="exact"/>
              <w:rPr>
                <w:rFonts w:hint="default"/>
                <w:kern w:val="0"/>
              </w:rPr>
            </w:pPr>
            <w:r>
              <w:rPr>
                <w:rFonts w:hint="eastAsia"/>
                <w:kern w:val="0"/>
              </w:rPr>
              <w:t>（４）地域リハビリテーション</w:t>
            </w:r>
            <w:r>
              <w:rPr>
                <w:rFonts w:hint="eastAsia"/>
                <w:spacing w:val="-4"/>
                <w:kern w:val="0"/>
                <w:vertAlign w:val="superscript"/>
              </w:rPr>
              <w:t>＊</w:t>
            </w:r>
            <w:r>
              <w:rPr>
                <w:rFonts w:hint="eastAsia"/>
                <w:kern w:val="0"/>
              </w:rPr>
              <w:t>体制の充実</w:t>
            </w:r>
          </w:p>
          <w:p>
            <w:pPr>
              <w:pStyle w:val="0"/>
              <w:widowControl w:val="1"/>
              <w:spacing w:line="360" w:lineRule="exact"/>
              <w:jc w:val="left"/>
              <w:rPr>
                <w:rFonts w:hint="default"/>
                <w:kern w:val="0"/>
              </w:rPr>
            </w:pPr>
            <w:r>
              <w:rPr>
                <w:rFonts w:hint="eastAsia"/>
                <w:kern w:val="0"/>
              </w:rPr>
              <w:t>（５）質の高い医療及び歯科医療の提供</w:t>
            </w:r>
          </w:p>
        </w:tc>
      </w:tr>
      <w:tr>
        <w:trPr>
          <w:trHeight w:val="1072" w:hRule="atLeast"/>
        </w:trPr>
        <w:tc>
          <w:tcPr>
            <w:tcW w:w="1286" w:type="dxa"/>
            <w:vMerge w:val="continue"/>
            <w:shd w:val="clear" w:color="auto" w:fill="auto"/>
            <w:textDirection w:val="tbRlV"/>
            <w:vAlign w:val="center"/>
          </w:tcPr>
          <w:p>
            <w:pPr>
              <w:pStyle w:val="0"/>
              <w:rPr>
                <w:rFonts w:hint="eastAsia"/>
              </w:rPr>
            </w:pPr>
          </w:p>
        </w:tc>
        <w:tc>
          <w:tcPr>
            <w:tcW w:w="2996" w:type="dxa"/>
            <w:shd w:val="clear" w:color="auto" w:fill="auto"/>
            <w:vAlign w:val="center"/>
          </w:tcPr>
          <w:p>
            <w:pPr>
              <w:pStyle w:val="0"/>
              <w:widowControl w:val="1"/>
              <w:snapToGrid w:val="0"/>
              <w:spacing w:line="360" w:lineRule="exact"/>
              <w:ind w:left="480" w:hanging="480" w:hangingChars="200"/>
              <w:jc w:val="left"/>
              <w:rPr>
                <w:rFonts w:hint="default"/>
                <w:kern w:val="0"/>
              </w:rPr>
            </w:pPr>
            <w:r>
              <w:rPr>
                <w:rFonts w:hint="eastAsia"/>
                <w:kern w:val="0"/>
              </w:rPr>
              <w:t>６　施設の防災、防犯、感染症対策の推進</w:t>
            </w:r>
          </w:p>
        </w:tc>
        <w:tc>
          <w:tcPr>
            <w:tcW w:w="5509" w:type="dxa"/>
            <w:shd w:val="clear" w:color="auto" w:fill="auto"/>
            <w:vAlign w:val="center"/>
          </w:tcPr>
          <w:p>
            <w:pPr>
              <w:pStyle w:val="0"/>
              <w:widowControl w:val="1"/>
              <w:snapToGrid w:val="0"/>
              <w:spacing w:line="360" w:lineRule="exact"/>
              <w:jc w:val="left"/>
              <w:rPr>
                <w:rFonts w:hint="default"/>
                <w:kern w:val="0"/>
              </w:rPr>
            </w:pPr>
            <w:r>
              <w:rPr>
                <w:rFonts w:hint="eastAsia"/>
                <w:kern w:val="0"/>
              </w:rPr>
              <w:t>（１）施設における防災体制・防犯対策の充実</w:t>
            </w:r>
          </w:p>
          <w:p>
            <w:pPr>
              <w:pStyle w:val="0"/>
              <w:widowControl w:val="1"/>
              <w:snapToGrid w:val="0"/>
              <w:spacing w:line="360" w:lineRule="exact"/>
              <w:rPr>
                <w:rFonts w:hint="default"/>
                <w:kern w:val="0"/>
              </w:rPr>
            </w:pPr>
            <w:r>
              <w:rPr>
                <w:rFonts w:hint="eastAsia"/>
                <w:kern w:val="0"/>
              </w:rPr>
              <w:t>（２）施設における感染症対策の充実</w:t>
            </w:r>
          </w:p>
        </w:tc>
      </w:tr>
      <w:tr>
        <w:trPr>
          <w:trHeight w:val="2705" w:hRule="atLeast"/>
        </w:trPr>
        <w:tc>
          <w:tcPr>
            <w:tcW w:w="1286"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fill="auto"/>
            <w:textDirection w:val="tbRlV"/>
            <w:vAlign w:val="center"/>
          </w:tcPr>
          <w:p>
            <w:pPr>
              <w:pStyle w:val="0"/>
              <w:rPr>
                <w:rFonts w:hint="eastAsia"/>
              </w:rPr>
            </w:pPr>
          </w:p>
        </w:tc>
        <w:tc>
          <w:tcPr>
            <w:tcW w:w="2996" w:type="dxa"/>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fill="auto"/>
            <w:vAlign w:val="center"/>
          </w:tcPr>
          <w:p>
            <w:pPr>
              <w:pStyle w:val="0"/>
              <w:widowControl w:val="1"/>
              <w:spacing w:line="360" w:lineRule="exact"/>
              <w:ind w:left="480" w:hanging="480" w:hangingChars="200"/>
              <w:jc w:val="left"/>
              <w:rPr>
                <w:rFonts w:hint="default"/>
                <w:kern w:val="0"/>
              </w:rPr>
            </w:pPr>
            <w:r>
              <w:rPr>
                <w:rFonts w:hint="eastAsia"/>
                <w:kern w:val="0"/>
              </w:rPr>
              <w:t>７　安心して暮らせるまちづくり</w:t>
            </w:r>
          </w:p>
        </w:tc>
        <w:tc>
          <w:tcPr>
            <w:tcW w:w="5509" w:type="dxa"/>
            <w:shd w:val="clear" w:color="auto" w:fill="auto"/>
            <w:vAlign w:val="center"/>
          </w:tcPr>
          <w:p>
            <w:pPr>
              <w:pStyle w:val="0"/>
              <w:widowControl w:val="1"/>
              <w:spacing w:line="360" w:lineRule="exact"/>
              <w:ind w:left="720" w:hanging="720" w:hangingChars="300"/>
              <w:rPr>
                <w:rFonts w:hint="default"/>
                <w:kern w:val="0"/>
              </w:rPr>
            </w:pPr>
            <w:r>
              <w:rPr>
                <w:rFonts w:hint="eastAsia"/>
                <w:kern w:val="0"/>
              </w:rPr>
              <w:t>（１）ユニバーサルデザインに基づくまちづくりの整備促進</w:t>
            </w:r>
          </w:p>
          <w:p>
            <w:pPr>
              <w:pStyle w:val="0"/>
              <w:widowControl w:val="1"/>
              <w:spacing w:line="360" w:lineRule="exact"/>
              <w:rPr>
                <w:rFonts w:hint="default"/>
                <w:kern w:val="0"/>
              </w:rPr>
            </w:pPr>
            <w:r>
              <w:rPr>
                <w:rFonts w:hint="eastAsia"/>
                <w:kern w:val="0"/>
              </w:rPr>
              <w:t>（２）誰もが住みやすい住宅整備の促進</w:t>
            </w:r>
          </w:p>
          <w:p>
            <w:pPr>
              <w:pStyle w:val="0"/>
              <w:widowControl w:val="1"/>
              <w:spacing w:line="360" w:lineRule="exact"/>
              <w:rPr>
                <w:rFonts w:hint="default"/>
                <w:kern w:val="0"/>
              </w:rPr>
            </w:pPr>
            <w:r>
              <w:rPr>
                <w:rFonts w:hint="eastAsia"/>
                <w:kern w:val="0"/>
              </w:rPr>
              <w:t>（３）地域における防災体制の充実</w:t>
            </w:r>
          </w:p>
          <w:p>
            <w:pPr>
              <w:pStyle w:val="0"/>
              <w:widowControl w:val="1"/>
              <w:spacing w:line="360" w:lineRule="exact"/>
              <w:rPr>
                <w:rFonts w:hint="default"/>
                <w:kern w:val="0"/>
              </w:rPr>
            </w:pPr>
            <w:r>
              <w:rPr>
                <w:rFonts w:hint="eastAsia"/>
                <w:kern w:val="0"/>
              </w:rPr>
              <w:t>（４）防犯対策の推進</w:t>
            </w:r>
          </w:p>
          <w:p>
            <w:pPr>
              <w:pStyle w:val="0"/>
              <w:widowControl w:val="1"/>
              <w:spacing w:line="360" w:lineRule="exact"/>
              <w:rPr>
                <w:rFonts w:hint="default"/>
                <w:kern w:val="0"/>
              </w:rPr>
            </w:pPr>
            <w:r>
              <w:rPr>
                <w:rFonts w:hint="eastAsia"/>
                <w:kern w:val="0"/>
              </w:rPr>
              <w:t>（５）交通安全対策の推進</w:t>
            </w:r>
          </w:p>
          <w:p>
            <w:pPr>
              <w:pStyle w:val="0"/>
              <w:widowControl w:val="1"/>
              <w:spacing w:line="360" w:lineRule="exact"/>
              <w:jc w:val="left"/>
              <w:rPr>
                <w:rFonts w:hint="default"/>
                <w:kern w:val="0"/>
              </w:rPr>
            </w:pPr>
            <w:r>
              <w:rPr>
                <w:rFonts w:hint="eastAsia"/>
                <w:kern w:val="0"/>
              </w:rPr>
              <w:t>（６）消費者としての利益の擁護及び増進</w:t>
            </w:r>
          </w:p>
        </w:tc>
      </w:tr>
      <w:tr>
        <w:trPr>
          <w:trHeight w:val="1046" w:hRule="atLeast"/>
        </w:trPr>
        <w:tc>
          <w:tcPr>
            <w:tcW w:w="1286"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extDirection w:val="tbRlV"/>
            <w:vAlign w:val="center"/>
          </w:tcPr>
          <w:p>
            <w:pPr>
              <w:pStyle w:val="0"/>
              <w:ind w:left="480" w:right="113" w:hanging="480" w:hangingChars="200"/>
              <w:jc w:val="center"/>
              <w:rPr>
                <w:rFonts w:hint="default"/>
                <w:kern w:val="0"/>
              </w:rPr>
            </w:pPr>
            <w:r>
              <w:rPr>
                <w:rFonts w:hint="eastAsia"/>
                <w:kern w:val="0"/>
              </w:rPr>
              <w:t>　Ⅲ　多様な障害に応じたきめ細かな支援</w:t>
            </w:r>
          </w:p>
        </w:tc>
        <w:tc>
          <w:tcPr>
            <w:tcW w:w="2996"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360" w:lineRule="exact"/>
              <w:ind w:left="480" w:hanging="480" w:hangingChars="200"/>
              <w:jc w:val="left"/>
              <w:rPr>
                <w:rFonts w:hint="default"/>
                <w:kern w:val="0"/>
              </w:rPr>
            </w:pPr>
            <w:r>
              <w:rPr>
                <w:rFonts w:hint="eastAsia"/>
                <w:kern w:val="0"/>
              </w:rPr>
              <w:t>１　早期支援体制の整備</w:t>
            </w:r>
          </w:p>
        </w:tc>
        <w:tc>
          <w:tcPr>
            <w:tcW w:w="5509"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360" w:lineRule="exact"/>
              <w:rPr>
                <w:rFonts w:hint="default"/>
                <w:kern w:val="0"/>
              </w:rPr>
            </w:pPr>
            <w:r>
              <w:rPr>
                <w:rFonts w:hint="eastAsia"/>
                <w:kern w:val="0"/>
              </w:rPr>
              <w:t>（１）早期発見対策の充実</w:t>
            </w:r>
          </w:p>
          <w:p>
            <w:pPr>
              <w:pStyle w:val="0"/>
              <w:widowControl w:val="1"/>
              <w:spacing w:line="360" w:lineRule="exact"/>
              <w:jc w:val="left"/>
              <w:rPr>
                <w:rFonts w:hint="default"/>
                <w:kern w:val="0"/>
              </w:rPr>
            </w:pPr>
            <w:r>
              <w:rPr>
                <w:rFonts w:hint="eastAsia"/>
                <w:kern w:val="0"/>
              </w:rPr>
              <w:t>（２）早期療育の充実</w:t>
            </w:r>
          </w:p>
        </w:tc>
      </w:tr>
      <w:tr>
        <w:trPr>
          <w:trHeight w:val="1346" w:hRule="atLeast"/>
        </w:trPr>
        <w:tc>
          <w:tcPr>
            <w:tcW w:w="1286" w:type="dxa"/>
            <w:vMerge w:val="continue"/>
            <w:shd w:val="clear" w:color="auto" w:fill="auto"/>
            <w:vAlign w:val="center"/>
          </w:tcPr>
          <w:p>
            <w:pPr>
              <w:pStyle w:val="0"/>
              <w:jc w:val="center"/>
              <w:rPr>
                <w:rFonts w:hint="default"/>
                <w:kern w:val="0"/>
              </w:rPr>
            </w:pPr>
          </w:p>
        </w:tc>
        <w:tc>
          <w:tcPr>
            <w:tcW w:w="2996" w:type="dxa"/>
            <w:shd w:val="clear" w:color="auto" w:fill="auto"/>
            <w:vAlign w:val="center"/>
          </w:tcPr>
          <w:p>
            <w:pPr>
              <w:pStyle w:val="0"/>
              <w:widowControl w:val="1"/>
              <w:spacing w:line="360" w:lineRule="exact"/>
              <w:jc w:val="left"/>
              <w:rPr>
                <w:rFonts w:hint="default"/>
                <w:kern w:val="0"/>
              </w:rPr>
            </w:pPr>
            <w:r>
              <w:rPr>
                <w:rFonts w:hint="eastAsia"/>
                <w:kern w:val="0"/>
              </w:rPr>
              <w:t>２　教育の振興</w:t>
            </w:r>
          </w:p>
        </w:tc>
        <w:tc>
          <w:tcPr>
            <w:tcW w:w="5509" w:type="dxa"/>
            <w:shd w:val="clear" w:color="auto" w:fill="auto"/>
            <w:vAlign w:val="center"/>
          </w:tcPr>
          <w:p>
            <w:pPr>
              <w:pStyle w:val="0"/>
              <w:widowControl w:val="1"/>
              <w:spacing w:line="360" w:lineRule="exact"/>
              <w:ind w:left="720" w:hanging="720" w:hangingChars="300"/>
              <w:rPr>
                <w:rFonts w:hint="default"/>
                <w:kern w:val="0"/>
              </w:rPr>
            </w:pPr>
            <w:r>
              <w:rPr>
                <w:rFonts w:hint="eastAsia"/>
                <w:kern w:val="0"/>
              </w:rPr>
              <w:t>（１）インクルーシブ教育システム</w:t>
            </w:r>
            <w:r>
              <w:rPr>
                <w:rFonts w:hint="eastAsia"/>
                <w:spacing w:val="-4"/>
                <w:kern w:val="0"/>
                <w:vertAlign w:val="superscript"/>
              </w:rPr>
              <w:t>＊</w:t>
            </w:r>
            <w:r>
              <w:rPr>
                <w:rFonts w:hint="eastAsia"/>
                <w:kern w:val="0"/>
              </w:rPr>
              <w:t>の推進と教育相談体制の充実</w:t>
            </w:r>
          </w:p>
          <w:p>
            <w:pPr>
              <w:pStyle w:val="0"/>
              <w:widowControl w:val="1"/>
              <w:spacing w:line="360" w:lineRule="exact"/>
              <w:rPr>
                <w:rFonts w:hint="default"/>
                <w:dstrike w:val="1"/>
                <w:kern w:val="0"/>
              </w:rPr>
            </w:pPr>
            <w:r>
              <w:rPr>
                <w:rFonts w:hint="eastAsia"/>
                <w:kern w:val="0"/>
              </w:rPr>
              <w:t>（２）特別支援教育の充実</w:t>
            </w:r>
          </w:p>
        </w:tc>
      </w:tr>
      <w:tr>
        <w:trPr>
          <w:trHeight w:val="1277" w:hRule="atLeast"/>
        </w:trPr>
        <w:tc>
          <w:tcPr>
            <w:tcW w:w="1286" w:type="dxa"/>
            <w:vMerge w:val="continue"/>
            <w:shd w:val="clear" w:color="auto" w:fill="auto"/>
            <w:textDirection w:val="tbRlV"/>
            <w:vAlign w:val="center"/>
          </w:tcPr>
          <w:p>
            <w:pPr>
              <w:pStyle w:val="0"/>
              <w:rPr>
                <w:rFonts w:hint="eastAsia"/>
              </w:rPr>
            </w:pPr>
          </w:p>
        </w:tc>
        <w:tc>
          <w:tcPr>
            <w:tcW w:w="2996" w:type="dxa"/>
            <w:shd w:val="clear" w:color="auto" w:fill="auto"/>
            <w:vAlign w:val="center"/>
          </w:tcPr>
          <w:p>
            <w:pPr>
              <w:pStyle w:val="0"/>
              <w:widowControl w:val="1"/>
              <w:spacing w:line="360" w:lineRule="exact"/>
              <w:ind w:left="480" w:hanging="480" w:hangingChars="200"/>
              <w:jc w:val="left"/>
              <w:rPr>
                <w:rFonts w:hint="default"/>
                <w:kern w:val="0"/>
              </w:rPr>
            </w:pPr>
            <w:r>
              <w:rPr>
                <w:rFonts w:hint="eastAsia"/>
                <w:kern w:val="0"/>
              </w:rPr>
              <w:t>３　重症心身障害児</w:t>
            </w:r>
            <w:r>
              <w:rPr>
                <w:rFonts w:hint="eastAsia"/>
                <w:kern w:val="0"/>
              </w:rPr>
              <w:t>(</w:t>
            </w:r>
            <w:r>
              <w:rPr>
                <w:rFonts w:hint="eastAsia"/>
                <w:kern w:val="0"/>
              </w:rPr>
              <w:t>者</w:t>
            </w:r>
            <w:r>
              <w:rPr>
                <w:rFonts w:hint="eastAsia"/>
                <w:kern w:val="0"/>
              </w:rPr>
              <w:t>)</w:t>
            </w:r>
            <w:r>
              <w:rPr>
                <w:rFonts w:hint="eastAsia"/>
                <w:color w:val="000000" w:themeColor="text1"/>
                <w:spacing w:val="-4"/>
                <w:kern w:val="0"/>
                <w:vertAlign w:val="superscript"/>
              </w:rPr>
              <w:t>＊</w:t>
            </w:r>
            <w:r>
              <w:rPr>
                <w:rFonts w:hint="eastAsia"/>
                <w:kern w:val="0"/>
              </w:rPr>
              <w:t>･医療的ケア児</w:t>
            </w:r>
            <w:r>
              <w:rPr>
                <w:rFonts w:hint="eastAsia"/>
                <w:kern w:val="0"/>
              </w:rPr>
              <w:t>(</w:t>
            </w:r>
            <w:r>
              <w:rPr>
                <w:rFonts w:hint="eastAsia"/>
                <w:kern w:val="0"/>
              </w:rPr>
              <w:t>者</w:t>
            </w:r>
            <w:r>
              <w:rPr>
                <w:rFonts w:hint="eastAsia"/>
                <w:kern w:val="0"/>
              </w:rPr>
              <w:t>)</w:t>
            </w:r>
            <w:r>
              <w:rPr>
                <w:rFonts w:hint="eastAsia"/>
                <w:kern w:val="0"/>
              </w:rPr>
              <w:t>に対する支援の充実</w:t>
            </w:r>
          </w:p>
        </w:tc>
        <w:tc>
          <w:tcPr>
            <w:tcW w:w="5509" w:type="dxa"/>
            <w:shd w:val="clear" w:color="auto" w:fill="auto"/>
            <w:vAlign w:val="center"/>
          </w:tcPr>
          <w:p>
            <w:pPr>
              <w:pStyle w:val="0"/>
              <w:widowControl w:val="1"/>
              <w:spacing w:line="360" w:lineRule="exact"/>
              <w:ind w:left="720" w:hanging="720" w:hangingChars="300"/>
              <w:jc w:val="left"/>
              <w:rPr>
                <w:rFonts w:hint="default"/>
                <w:kern w:val="0"/>
              </w:rPr>
            </w:pPr>
            <w:r>
              <w:rPr>
                <w:rFonts w:hint="eastAsia"/>
                <w:kern w:val="0"/>
              </w:rPr>
              <w:t>（１）重症心身障害児</w:t>
            </w:r>
            <w:r>
              <w:rPr>
                <w:rFonts w:hint="eastAsia"/>
                <w:kern w:val="0"/>
              </w:rPr>
              <w:t>(</w:t>
            </w:r>
            <w:r>
              <w:rPr>
                <w:rFonts w:hint="eastAsia"/>
                <w:kern w:val="0"/>
              </w:rPr>
              <w:t>者</w:t>
            </w:r>
            <w:r>
              <w:rPr>
                <w:rFonts w:hint="eastAsia"/>
                <w:kern w:val="0"/>
              </w:rPr>
              <w:t>)</w:t>
            </w:r>
            <w:r>
              <w:rPr>
                <w:rFonts w:hint="eastAsia"/>
                <w:kern w:val="0"/>
              </w:rPr>
              <w:t>・医療的ケア児</w:t>
            </w:r>
            <w:r>
              <w:rPr>
                <w:rFonts w:hint="eastAsia"/>
                <w:kern w:val="0"/>
              </w:rPr>
              <w:t>(</w:t>
            </w:r>
            <w:r>
              <w:rPr>
                <w:rFonts w:hint="eastAsia"/>
                <w:kern w:val="0"/>
              </w:rPr>
              <w:t>者</w:t>
            </w:r>
            <w:r>
              <w:rPr>
                <w:rFonts w:hint="eastAsia"/>
                <w:kern w:val="0"/>
              </w:rPr>
              <w:t>)</w:t>
            </w:r>
            <w:r>
              <w:rPr>
                <w:rFonts w:hint="eastAsia"/>
                <w:kern w:val="0"/>
              </w:rPr>
              <w:t>に対する支援</w:t>
            </w:r>
          </w:p>
        </w:tc>
      </w:tr>
      <w:tr>
        <w:trPr>
          <w:trHeight w:val="1170" w:hRule="atLeast"/>
        </w:trPr>
        <w:tc>
          <w:tcPr>
            <w:tcW w:w="1286" w:type="dxa"/>
            <w:vMerge w:val="continue"/>
            <w:shd w:val="clear" w:color="auto" w:fill="auto"/>
            <w:textDirection w:val="tbRlV"/>
            <w:vAlign w:val="center"/>
          </w:tcPr>
          <w:p>
            <w:pPr>
              <w:pStyle w:val="0"/>
              <w:rPr>
                <w:rFonts w:hint="eastAsia"/>
              </w:rPr>
            </w:pPr>
          </w:p>
        </w:tc>
        <w:tc>
          <w:tcPr>
            <w:tcW w:w="2996" w:type="dxa"/>
            <w:shd w:val="clear" w:color="auto" w:fill="auto"/>
            <w:vAlign w:val="center"/>
          </w:tcPr>
          <w:p>
            <w:pPr>
              <w:pStyle w:val="0"/>
              <w:widowControl w:val="1"/>
              <w:spacing w:line="360" w:lineRule="exact"/>
              <w:ind w:left="480" w:hanging="480" w:hangingChars="200"/>
              <w:jc w:val="left"/>
              <w:rPr>
                <w:rFonts w:hint="default"/>
                <w:kern w:val="0"/>
              </w:rPr>
            </w:pPr>
            <w:r>
              <w:rPr>
                <w:rFonts w:hint="eastAsia"/>
                <w:kern w:val="0"/>
              </w:rPr>
              <w:t>４　発達障害</w:t>
            </w:r>
            <w:r>
              <w:rPr>
                <w:rFonts w:hint="eastAsia"/>
                <w:spacing w:val="-4"/>
                <w:kern w:val="0"/>
                <w:vertAlign w:val="superscript"/>
              </w:rPr>
              <w:t>＊</w:t>
            </w:r>
            <w:r>
              <w:rPr>
                <w:rFonts w:hint="eastAsia"/>
                <w:kern w:val="0"/>
              </w:rPr>
              <w:t>のある人に対する支援の充実</w:t>
            </w:r>
          </w:p>
        </w:tc>
        <w:tc>
          <w:tcPr>
            <w:tcW w:w="5509" w:type="dxa"/>
            <w:shd w:val="clear" w:color="auto" w:fill="auto"/>
            <w:vAlign w:val="center"/>
          </w:tcPr>
          <w:p>
            <w:pPr>
              <w:pStyle w:val="0"/>
              <w:widowControl w:val="1"/>
              <w:spacing w:line="360" w:lineRule="exact"/>
              <w:jc w:val="left"/>
              <w:rPr>
                <w:rFonts w:hint="default"/>
                <w:kern w:val="0"/>
              </w:rPr>
            </w:pPr>
            <w:r>
              <w:rPr>
                <w:rFonts w:hint="eastAsia"/>
                <w:kern w:val="0"/>
              </w:rPr>
              <w:t>（１）発達障害のある人に対する支援</w:t>
            </w:r>
          </w:p>
          <w:p>
            <w:pPr>
              <w:pStyle w:val="0"/>
              <w:widowControl w:val="1"/>
              <w:spacing w:line="360" w:lineRule="exact"/>
              <w:jc w:val="left"/>
              <w:rPr>
                <w:rFonts w:hint="default"/>
                <w:kern w:val="0"/>
              </w:rPr>
            </w:pPr>
            <w:r>
              <w:rPr>
                <w:rFonts w:hint="eastAsia"/>
                <w:kern w:val="0"/>
              </w:rPr>
              <w:t>（２）強度行動障害</w:t>
            </w:r>
            <w:r>
              <w:rPr>
                <w:rFonts w:hint="eastAsia"/>
                <w:spacing w:val="-4"/>
                <w:kern w:val="0"/>
                <w:vertAlign w:val="superscript"/>
              </w:rPr>
              <w:t>＊</w:t>
            </w:r>
            <w:r>
              <w:rPr>
                <w:rFonts w:hint="eastAsia"/>
                <w:kern w:val="0"/>
              </w:rPr>
              <w:t>のある人に対する支援</w:t>
            </w:r>
          </w:p>
        </w:tc>
      </w:tr>
      <w:tr>
        <w:trPr>
          <w:trHeight w:val="930" w:hRule="atLeast"/>
        </w:trPr>
        <w:tc>
          <w:tcPr>
            <w:tcW w:w="1286" w:type="dxa"/>
            <w:vMerge w:val="continue"/>
            <w:shd w:val="clear" w:color="auto" w:fill="auto"/>
            <w:textDirection w:val="tbRlV"/>
            <w:vAlign w:val="center"/>
          </w:tcPr>
          <w:p>
            <w:pPr>
              <w:pStyle w:val="0"/>
              <w:rPr>
                <w:rFonts w:hint="eastAsia"/>
              </w:rPr>
            </w:pPr>
          </w:p>
        </w:tc>
        <w:tc>
          <w:tcPr>
            <w:tcW w:w="2996" w:type="dxa"/>
            <w:shd w:val="clear" w:color="auto" w:fill="auto"/>
            <w:vAlign w:val="center"/>
          </w:tcPr>
          <w:p>
            <w:pPr>
              <w:pStyle w:val="0"/>
              <w:spacing w:line="360" w:lineRule="exact"/>
              <w:ind w:left="480" w:hanging="480" w:hangingChars="200"/>
              <w:rPr>
                <w:rFonts w:hint="default"/>
              </w:rPr>
            </w:pPr>
            <w:r>
              <w:rPr>
                <w:rFonts w:hint="eastAsia"/>
                <w:kern w:val="0"/>
              </w:rPr>
              <w:t>５　精神障害のある人に対する支援の充実</w:t>
            </w:r>
          </w:p>
        </w:tc>
        <w:tc>
          <w:tcPr>
            <w:tcW w:w="5509" w:type="dxa"/>
            <w:shd w:val="clear" w:color="auto" w:fill="auto"/>
            <w:vAlign w:val="center"/>
          </w:tcPr>
          <w:p>
            <w:pPr>
              <w:pStyle w:val="0"/>
              <w:spacing w:line="360" w:lineRule="exact"/>
              <w:rPr>
                <w:rFonts w:hint="default"/>
              </w:rPr>
            </w:pPr>
            <w:r>
              <w:rPr>
                <w:rFonts w:hint="eastAsia"/>
                <w:kern w:val="0"/>
              </w:rPr>
              <w:t>（１）精神障害のある人に対する支援</w:t>
            </w:r>
          </w:p>
        </w:tc>
      </w:tr>
      <w:tr>
        <w:trPr>
          <w:trHeight w:val="1020" w:hRule="atLeast"/>
        </w:trPr>
        <w:tc>
          <w:tcPr>
            <w:tcW w:w="1286" w:type="dxa"/>
            <w:vMerge w:val="continue"/>
            <w:shd w:val="clear" w:color="auto" w:fill="auto"/>
            <w:textDirection w:val="tbRlV"/>
            <w:vAlign w:val="center"/>
          </w:tcPr>
          <w:p>
            <w:pPr>
              <w:pStyle w:val="0"/>
              <w:rPr>
                <w:rFonts w:hint="eastAsia"/>
              </w:rPr>
            </w:pPr>
          </w:p>
        </w:tc>
        <w:tc>
          <w:tcPr>
            <w:tcW w:w="2996" w:type="dxa"/>
            <w:shd w:val="clear" w:color="auto" w:fill="auto"/>
            <w:vAlign w:val="center"/>
          </w:tcPr>
          <w:p>
            <w:pPr>
              <w:pStyle w:val="0"/>
              <w:widowControl w:val="1"/>
              <w:spacing w:line="360" w:lineRule="exact"/>
              <w:ind w:left="480" w:hanging="480" w:hangingChars="200"/>
              <w:jc w:val="left"/>
              <w:rPr>
                <w:rFonts w:hint="default"/>
                <w:kern w:val="0"/>
              </w:rPr>
            </w:pPr>
            <w:r>
              <w:rPr>
                <w:rFonts w:hint="eastAsia"/>
                <w:kern w:val="0"/>
              </w:rPr>
              <w:t>６　難病のある人に対する支援の充実</w:t>
            </w:r>
          </w:p>
        </w:tc>
        <w:tc>
          <w:tcPr>
            <w:tcW w:w="5509" w:type="dxa"/>
            <w:shd w:val="clear" w:color="auto" w:fill="auto"/>
            <w:vAlign w:val="center"/>
          </w:tcPr>
          <w:p>
            <w:pPr>
              <w:pStyle w:val="0"/>
              <w:widowControl w:val="1"/>
              <w:spacing w:line="360" w:lineRule="exact"/>
              <w:jc w:val="left"/>
              <w:rPr>
                <w:rFonts w:hint="default"/>
                <w:kern w:val="0"/>
              </w:rPr>
            </w:pPr>
            <w:r>
              <w:rPr>
                <w:rFonts w:hint="eastAsia"/>
                <w:kern w:val="0"/>
              </w:rPr>
              <w:t>（１）難病患者に対する支援</w:t>
            </w:r>
          </w:p>
        </w:tc>
      </w:tr>
    </w:tbl>
    <w:p>
      <w:pPr>
        <w:pStyle w:val="0"/>
        <w:outlineLvl w:val="0"/>
        <w:rPr>
          <w:rFonts w:hint="default"/>
          <w:b w:val="1"/>
          <w:color w:val="FFFFFF"/>
          <w:sz w:val="36"/>
        </w:rPr>
        <w:sectPr>
          <w:type w:val="continuous"/>
          <w:pgSz w:w="11906" w:h="16838"/>
          <w:pgMar w:top="1134" w:right="1021" w:bottom="1134" w:left="1134" w:header="284" w:footer="284" w:gutter="0"/>
          <w:cols w:space="720"/>
          <w:textDirection w:val="lrTb"/>
          <w:docGrid w:type="lines" w:linePitch="428"/>
        </w:sectPr>
      </w:pPr>
      <w:r>
        <w:rPr>
          <w:rFonts w:hint="default"/>
        </w:rPr>
        <w:br w:type="page"/>
      </w:r>
    </w:p>
    <w:p>
      <w:pPr>
        <w:pStyle w:val="0"/>
        <w:rPr>
          <w:rFonts w:hint="default" w:ascii="ＭＳ ゴシック" w:hAnsi="ＭＳ ゴシック" w:eastAsia="ＭＳ ゴシック"/>
          <w:u w:val="single" w:color="auto"/>
        </w:rPr>
      </w:pPr>
      <w:bookmarkStart w:id="63" w:name="_Toc503474017"/>
      <w:bookmarkEnd w:id="63"/>
      <w:bookmarkStart w:id="64" w:name="_Toc503474018"/>
      <w:bookmarkEnd w:id="64"/>
      <w:bookmarkStart w:id="65" w:name="_Toc503474019"/>
      <w:bookmarkEnd w:id="65"/>
      <w:bookmarkStart w:id="66" w:name="_Toc503474020"/>
      <w:bookmarkEnd w:id="66"/>
      <w:bookmarkStart w:id="67" w:name="_Toc503474021"/>
      <w:bookmarkEnd w:id="67"/>
      <w:bookmarkStart w:id="68" w:name="_Toc503474022"/>
      <w:bookmarkEnd w:id="68"/>
      <w:bookmarkStart w:id="69" w:name="_Toc503474023"/>
      <w:bookmarkEnd w:id="69"/>
      <w:bookmarkStart w:id="70" w:name="_Toc503474024"/>
      <w:bookmarkEnd w:id="70"/>
      <w:bookmarkStart w:id="71" w:name="_Toc503474025"/>
      <w:bookmarkEnd w:id="71"/>
      <w:bookmarkStart w:id="72" w:name="_Toc503474026"/>
      <w:bookmarkEnd w:id="72"/>
      <w:bookmarkStart w:id="73" w:name="_Toc503474027"/>
      <w:bookmarkEnd w:id="73"/>
      <w:bookmarkStart w:id="74" w:name="_Toc503474028"/>
      <w:bookmarkEnd w:id="74"/>
      <w:bookmarkStart w:id="75" w:name="_Toc503474029"/>
      <w:bookmarkEnd w:id="75"/>
      <w:bookmarkStart w:id="76" w:name="_Toc503474030"/>
      <w:bookmarkEnd w:id="76"/>
      <w:bookmarkStart w:id="77" w:name="_Toc503474031"/>
      <w:bookmarkEnd w:id="77"/>
      <w:bookmarkStart w:id="78" w:name="_Toc503474032"/>
      <w:bookmarkEnd w:id="78"/>
      <w:bookmarkStart w:id="79" w:name="_Toc503474033"/>
      <w:bookmarkEnd w:id="79"/>
      <w:bookmarkStart w:id="80" w:name="_Toc503474034"/>
      <w:bookmarkEnd w:id="80"/>
      <w:bookmarkStart w:id="81" w:name="_Toc503474035"/>
      <w:bookmarkEnd w:id="81"/>
      <w:bookmarkStart w:id="82" w:name="_Toc503474036"/>
      <w:bookmarkEnd w:id="82"/>
      <w:bookmarkStart w:id="83" w:name="_Toc503474038"/>
      <w:bookmarkEnd w:id="83"/>
    </w:p>
    <w:p>
      <w:pPr>
        <w:pStyle w:val="0"/>
        <w:rPr>
          <w:rFonts w:hint="default" w:ascii="ＭＳ ゴシック" w:hAnsi="ＭＳ ゴシック" w:eastAsia="ＭＳ ゴシック"/>
          <w:u w:val="single" w:color="auto"/>
        </w:rPr>
      </w:pPr>
    </w:p>
    <w:p>
      <w:pPr>
        <w:pStyle w:val="0"/>
        <w:rPr>
          <w:rFonts w:hint="default" w:ascii="ＭＳ ゴシック" w:hAnsi="ＭＳ ゴシック" w:eastAsia="ＭＳ ゴシック"/>
          <w:u w:val="single" w:color="auto"/>
        </w:rPr>
      </w:pPr>
    </w:p>
    <w:p>
      <w:pPr>
        <w:pStyle w:val="0"/>
        <w:rPr>
          <w:rFonts w:hint="default"/>
          <w:sz w:val="18"/>
          <w:u w:val="single" w:color="auto"/>
        </w:rPr>
      </w:pPr>
    </w:p>
    <w:p>
      <w:pPr>
        <w:pStyle w:val="0"/>
        <w:jc w:val="center"/>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center"/>
        <w:rPr>
          <w:rFonts w:hint="default" w:ascii="ＭＳ ゴシック" w:hAnsi="ＭＳ ゴシック" w:eastAsia="ＭＳ ゴシック"/>
          <w:sz w:val="48"/>
        </w:rPr>
      </w:pPr>
      <w:r>
        <w:rPr>
          <w:rFonts w:hint="eastAsia" w:ascii="ＭＳ ゴシック" w:hAnsi="ＭＳ ゴシック" w:eastAsia="ＭＳ ゴシック"/>
          <w:sz w:val="48"/>
        </w:rPr>
        <w:t>【第２部】</w:t>
      </w:r>
    </w:p>
    <w:p>
      <w:pPr>
        <w:pStyle w:val="0"/>
        <w:jc w:val="center"/>
        <w:rPr>
          <w:rFonts w:hint="default" w:ascii="ＭＳ ゴシック" w:hAnsi="ＭＳ ゴシック" w:eastAsia="ＭＳ ゴシック"/>
          <w:sz w:val="48"/>
        </w:rPr>
      </w:pPr>
      <w:r>
        <w:rPr>
          <w:rFonts w:hint="eastAsia" w:ascii="ＭＳ ゴシック" w:hAnsi="ＭＳ ゴシック" w:eastAsia="ＭＳ ゴシック"/>
          <w:sz w:val="48"/>
        </w:rPr>
        <w:t>各　　論</w:t>
      </w: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sz w:val="48"/>
        </w:rPr>
      </w:pPr>
    </w:p>
    <w:p>
      <w:pPr>
        <w:pStyle w:val="0"/>
        <w:jc w:val="left"/>
        <w:rPr>
          <w:rFonts w:hint="default" w:ascii="ＭＳ ゴシック" w:hAnsi="ＭＳ ゴシック" w:eastAsia="ＭＳ ゴシック"/>
          <w:b w:val="1"/>
          <w:color w:val="FFFFFF"/>
          <w:sz w:val="36"/>
        </w:rPr>
      </w:pPr>
      <w:r>
        <w:rPr>
          <w:rFonts w:hint="eastAsia"/>
        </w:rPr>
        <w:br w:type="page"/>
      </w:r>
      <w:bookmarkStart w:id="84" w:name="_Toc503474039"/>
      <w:r>
        <w:rPr>
          <w:rFonts w:hint="eastAsia" w:ascii="ＭＳ ゴシック" w:hAnsi="ＭＳ ゴシック" w:eastAsia="ＭＳ ゴシック"/>
          <w:b w:val="1"/>
          <w:color w:val="FFFFFF"/>
          <w:sz w:val="36"/>
        </w:rPr>
        <w:t>Ⅰ　障害に対する理解と相互交流の促進</w:t>
      </w:r>
      <w:r>
        <w:rPr>
          <w:rFonts w:hint="eastAsia" w:ascii="ＭＳ ゴシック" w:hAnsi="ＭＳ ゴシック" w:eastAsia="ＭＳ ゴシック"/>
          <w:b w:val="1"/>
          <w:color w:val="FFFFFF"/>
          <w:sz w:val="36"/>
        </w:rPr>
        <mc:AlternateContent>
          <mc:Choice Requires="wps">
            <w:drawing>
              <wp:anchor distT="0" distB="0" distL="114300" distR="114300" simplePos="0" relativeHeight="2" behindDoc="0" locked="0" layoutInCell="1" hidden="0" allowOverlap="1">
                <wp:simplePos x="0" y="0"/>
                <wp:positionH relativeFrom="column">
                  <wp:posOffset>0</wp:posOffset>
                </wp:positionH>
                <wp:positionV relativeFrom="paragraph">
                  <wp:posOffset>0</wp:posOffset>
                </wp:positionV>
                <wp:extent cx="6120130" cy="335915"/>
                <wp:effectExtent l="635" t="635" r="29845" b="10795"/>
                <wp:wrapNone/>
                <wp:docPr id="1088" name="オブジェクト 0"/>
                <a:graphic xmlns:a="http://schemas.openxmlformats.org/drawingml/2006/main">
                  <a:graphicData uri="http://schemas.microsoft.com/office/word/2010/wordprocessingShape">
                    <wps:wsp>
                      <wps:cNvPr id="1088" name="オブジェクト 0"/>
                      <wps:cNvSpPr>
                        <a:spLocks noChangeArrowheads="1"/>
                      </wps:cNvSpPr>
                      <wps:spPr>
                        <a:xfrm>
                          <a:off x="0" y="0"/>
                          <a:ext cx="6120130" cy="335915"/>
                        </a:xfrm>
                        <a:prstGeom prst="roundRect">
                          <a:avLst>
                            <a:gd name="adj" fmla="val 16695"/>
                          </a:avLst>
                        </a:prstGeom>
                        <a:solidFill>
                          <a:srgbClr val="C0C0C0">
                            <a:alpha val="39999"/>
                          </a:srgbClr>
                        </a:solidFill>
                        <a:ln w="9525">
                          <a:solidFill>
                            <a:srgbClr val="C0C0C0"/>
                          </a:solidFill>
                        </a:ln>
                      </wps:spPr>
                      <wps:txbx>
                        <w:txbxContent>
                          <w:p>
                            <w:pPr>
                              <w:pStyle w:val="0"/>
                              <w:rPr>
                                <w:rFonts w:hint="default" w:ascii="ＭＳ ゴシック" w:hAnsi="ＭＳ ゴシック" w:eastAsia="ＭＳ ゴシック"/>
                                <w:sz w:val="28"/>
                              </w:rPr>
                            </w:pPr>
                            <w:r>
                              <w:rPr>
                                <w:rFonts w:hint="eastAsia" w:ascii="ＭＳ ゴシック" w:hAnsi="ＭＳ ゴシック" w:eastAsia="ＭＳ ゴシック"/>
                                <w:sz w:val="28"/>
                              </w:rPr>
                              <w:t>Ⅰ　障害に対する理解と相互交流の促進</w:t>
                            </w:r>
                          </w:p>
                        </w:txbxContent>
                      </wps:txbx>
                      <wps:bodyPr vertOverflow="overflow" horzOverflow="overflow" lIns="74295" tIns="8890" rIns="74295" bIns="8890" upright="1"/>
                    </wps:wsp>
                  </a:graphicData>
                </a:graphic>
              </wp:anchor>
            </w:drawing>
          </mc:Choice>
          <mc:Fallback>
            <w:pict>
              <v:roundrect id="オブジェクト 0" style="mso-wrap-distance-right:9pt;mso-wrap-distance-bottom:0pt;margin-top:0pt;mso-position-vertical-relative:text;mso-position-horizontal-relative:text;position:absolute;height:26.45pt;mso-wrap-distance-top:0pt;width:481.9pt;mso-wrap-distance-left:9pt;margin-left:0pt;z-index:2;" o:spid="_x0000_s1088" o:allowincell="t" o:allowoverlap="t" filled="t" fillcolor="#c0c0c0" stroked="t" strokecolor="#c0c0c0" strokeweight="0.75pt" o:spt="2" arcsize="10941f">
                <v:fill opacity="26213f"/>
                <v:stroke filltype="solid"/>
                <v:textbox style="layout-flow:horizontal;" inset="2.0637499999999998mm,0.24694444444444438mm,2.0637499999999998mm,0.24694444444444438mm">
                  <w:txbxContent>
                    <w:p>
                      <w:pPr>
                        <w:pStyle w:val="0"/>
                        <w:rPr>
                          <w:rFonts w:hint="default" w:ascii="ＭＳ ゴシック" w:hAnsi="ＭＳ ゴシック" w:eastAsia="ＭＳ ゴシック"/>
                          <w:sz w:val="28"/>
                        </w:rPr>
                      </w:pPr>
                      <w:r>
                        <w:rPr>
                          <w:rFonts w:hint="eastAsia" w:ascii="ＭＳ ゴシック" w:hAnsi="ＭＳ ゴシック" w:eastAsia="ＭＳ ゴシック"/>
                          <w:sz w:val="28"/>
                        </w:rPr>
                        <w:t>Ⅰ　障害に対する理解と相互交流の促進</w:t>
                      </w:r>
                    </w:p>
                  </w:txbxContent>
                </v:textbox>
                <v:imagedata o:title=""/>
                <w10:wrap type="none" anchorx="text" anchory="text"/>
              </v:roundrect>
            </w:pict>
          </mc:Fallback>
        </mc:AlternateContent>
      </w:r>
      <w:bookmarkEnd w:id="84"/>
    </w:p>
    <w:p>
      <w:pPr>
        <w:pStyle w:val="0"/>
        <w:outlineLvl w:val="1"/>
        <w:rPr>
          <w:rFonts w:hint="default" w:ascii="ＭＳ ゴシック" w:hAnsi="ＭＳ ゴシック" w:eastAsia="ＭＳ ゴシック"/>
          <w:sz w:val="26"/>
          <w:u w:val="single" w:color="auto"/>
        </w:rPr>
      </w:pPr>
      <w:bookmarkStart w:id="85" w:name="_Toc503474040"/>
      <w:bookmarkEnd w:id="85"/>
      <w:r>
        <w:rPr>
          <w:rFonts w:hint="eastAsia" w:ascii="ＭＳ ゴシック" w:hAnsi="ＭＳ ゴシック" w:eastAsia="ＭＳ ゴシック"/>
          <w:sz w:val="26"/>
          <w:u w:val="single" w:color="auto"/>
        </w:rPr>
        <w:t>１　障害者差別解消条例</w:t>
      </w:r>
      <w:r>
        <w:rPr>
          <w:rFonts w:hint="eastAsia"/>
          <w:u w:val="single" w:color="auto"/>
          <w:vertAlign w:val="superscript"/>
        </w:rPr>
        <w:t>＊</w:t>
      </w:r>
      <w:r>
        <w:rPr>
          <w:rFonts w:hint="eastAsia" w:ascii="ＭＳ ゴシック" w:hAnsi="ＭＳ ゴシック" w:eastAsia="ＭＳ ゴシック"/>
          <w:sz w:val="26"/>
          <w:u w:val="single" w:color="auto"/>
        </w:rPr>
        <w:t>に基づく不当な差別の禁止と合理的配慮</w:t>
      </w:r>
      <w:r>
        <w:rPr>
          <w:rFonts w:hint="eastAsia"/>
          <w:u w:val="single" w:color="auto"/>
          <w:vertAlign w:val="superscript"/>
        </w:rPr>
        <w:t>＊</w:t>
      </w:r>
      <w:r>
        <w:rPr>
          <w:rFonts w:hint="eastAsia" w:ascii="ＭＳ ゴシック" w:hAnsi="ＭＳ ゴシック" w:eastAsia="ＭＳ ゴシック"/>
          <w:sz w:val="26"/>
          <w:u w:val="single" w:color="auto"/>
        </w:rPr>
        <w:t>の提供の推進</w:t>
      </w:r>
    </w:p>
    <w:p>
      <w:pPr>
        <w:pStyle w:val="0"/>
        <w:outlineLvl w:val="2"/>
        <w:rPr>
          <w:rFonts w:hint="default"/>
        </w:rPr>
      </w:pPr>
      <w:r>
        <w:rPr>
          <w:rFonts w:hint="eastAsia" w:ascii="ＭＳ ゴシック" w:hAnsi="ＭＳ ゴシック" w:eastAsia="ＭＳ ゴシック"/>
        </w:rPr>
        <w:t>（１）差別解消の推進</w:t>
      </w:r>
    </w:p>
    <w:p>
      <w:pPr>
        <w:pStyle w:val="0"/>
        <w:rPr>
          <w:rFonts w:hint="default"/>
        </w:rPr>
      </w:pPr>
      <w:r>
        <w:rPr>
          <w:rFonts w:hint="eastAsia" w:ascii="ＭＳ ゴシック" w:hAnsi="ＭＳ ゴシック" w:eastAsia="ＭＳ ゴシック"/>
        </w:rPr>
        <w:t>【現状と課題】</w:t>
      </w:r>
    </w:p>
    <w:p>
      <w:pPr>
        <w:pStyle w:val="0"/>
        <w:numPr>
          <w:ilvl w:val="0"/>
          <w:numId w:val="3"/>
        </w:numPr>
        <w:autoSpaceDE w:val="0"/>
        <w:autoSpaceDN w:val="0"/>
        <w:adjustRightInd w:val="0"/>
        <w:spacing w:line="360" w:lineRule="exact"/>
        <w:jc w:val="left"/>
        <w:rPr>
          <w:rFonts w:hint="default"/>
          <w:sz w:val="22"/>
        </w:rPr>
      </w:pPr>
      <w:r>
        <w:rPr>
          <w:rFonts w:hint="eastAsia"/>
        </w:rPr>
        <w:t>障害のある人の権利の実現に向けた措置などを規定した障害者権利条約が、</w:t>
      </w:r>
      <w:r>
        <w:rPr>
          <w:rFonts w:hint="eastAsia"/>
        </w:rPr>
        <w:t>2006</w:t>
      </w:r>
      <w:r>
        <w:rPr>
          <w:rFonts w:hint="eastAsia"/>
        </w:rPr>
        <w:t>年</w:t>
      </w:r>
      <w:r>
        <w:rPr>
          <w:rFonts w:hint="eastAsia"/>
        </w:rPr>
        <w:t>12</w:t>
      </w:r>
      <w:r>
        <w:rPr>
          <w:rFonts w:hint="eastAsia"/>
        </w:rPr>
        <w:t>月の国連総会において採択され、</w:t>
      </w:r>
      <w:r>
        <w:rPr>
          <w:rFonts w:hint="eastAsia"/>
        </w:rPr>
        <w:t>2008</w:t>
      </w:r>
      <w:r>
        <w:rPr>
          <w:rFonts w:hint="eastAsia"/>
        </w:rPr>
        <w:t>年５月に発効しました。我が国は、</w:t>
      </w:r>
      <w:r>
        <w:rPr>
          <w:rFonts w:hint="eastAsia"/>
        </w:rPr>
        <w:t>2007</w:t>
      </w:r>
      <w:r>
        <w:rPr>
          <w:rFonts w:hint="eastAsia"/>
        </w:rPr>
        <w:t>年９月に署名しましたが、締結に当たっては、まず国内法令の整備に取り組んでほしいとの障害者団体の意見を踏まえて、関係法令の整備等を経て、</w:t>
      </w:r>
      <w:r>
        <w:rPr>
          <w:rFonts w:hint="eastAsia"/>
        </w:rPr>
        <w:t>2014</w:t>
      </w:r>
      <w:r>
        <w:rPr>
          <w:rFonts w:hint="eastAsia"/>
        </w:rPr>
        <w:t>年２月から発効しています。</w:t>
      </w:r>
    </w:p>
    <w:p>
      <w:pPr>
        <w:pStyle w:val="0"/>
        <w:autoSpaceDE w:val="0"/>
        <w:autoSpaceDN w:val="0"/>
        <w:adjustRightInd w:val="0"/>
        <w:spacing w:line="360" w:lineRule="exact"/>
        <w:ind w:left="576"/>
        <w:jc w:val="left"/>
        <w:rPr>
          <w:rFonts w:hint="default"/>
          <w:sz w:val="22"/>
        </w:rPr>
      </w:pPr>
    </w:p>
    <w:p>
      <w:pPr>
        <w:pStyle w:val="0"/>
        <w:numPr>
          <w:ilvl w:val="0"/>
          <w:numId w:val="3"/>
        </w:numPr>
        <w:autoSpaceDE w:val="0"/>
        <w:autoSpaceDN w:val="0"/>
        <w:adjustRightInd w:val="0"/>
        <w:spacing w:line="360" w:lineRule="exact"/>
        <w:jc w:val="left"/>
        <w:rPr>
          <w:rFonts w:hint="default"/>
          <w:sz w:val="22"/>
        </w:rPr>
      </w:pPr>
      <w:r>
        <w:rPr>
          <w:rFonts w:hint="eastAsia"/>
        </w:rPr>
        <w:t>障害者権利条約の趣旨を基本原則として取り込む形で、差別の禁止を規定した改正障害者基本法が</w:t>
      </w:r>
      <w:r>
        <w:rPr>
          <w:rFonts w:hint="eastAsia"/>
        </w:rPr>
        <w:t>2011</w:t>
      </w:r>
      <w:r>
        <w:rPr>
          <w:rFonts w:hint="eastAsia"/>
        </w:rPr>
        <w:t>年８月に、その規定を具体化する障害者差別解消法が</w:t>
      </w:r>
      <w:r>
        <w:rPr>
          <w:rFonts w:hint="eastAsia"/>
        </w:rPr>
        <w:t>2013</w:t>
      </w:r>
      <w:r>
        <w:rPr>
          <w:rFonts w:hint="eastAsia"/>
        </w:rPr>
        <w:t>年６月に公布されました。さらに</w:t>
      </w:r>
      <w:r>
        <w:rPr>
          <w:rFonts w:hint="eastAsia"/>
        </w:rPr>
        <w:t>2021</w:t>
      </w:r>
      <w:r>
        <w:rPr>
          <w:rFonts w:hint="eastAsia"/>
        </w:rPr>
        <w:t>年６月に改正障害者差別解消法が公布され、事業者による「合理的配慮</w:t>
      </w:r>
      <w:r>
        <w:rPr>
          <w:rFonts w:hint="eastAsia"/>
          <w:color w:val="000000" w:themeColor="text1"/>
          <w:spacing w:val="-4"/>
          <w:kern w:val="0"/>
          <w:vertAlign w:val="superscript"/>
        </w:rPr>
        <w:t>＊</w:t>
      </w:r>
      <w:r>
        <w:rPr>
          <w:rFonts w:hint="eastAsia"/>
        </w:rPr>
        <w:t>の提供」の義務化が盛り込まれ、</w:t>
      </w:r>
      <w:r>
        <w:rPr>
          <w:rFonts w:hint="eastAsia"/>
        </w:rPr>
        <w:t>3</w:t>
      </w:r>
      <w:r>
        <w:rPr>
          <w:rFonts w:hint="eastAsia"/>
        </w:rPr>
        <w:t>年以内に施行されます。</w:t>
      </w:r>
    </w:p>
    <w:p>
      <w:pPr>
        <w:pStyle w:val="0"/>
        <w:autoSpaceDE w:val="0"/>
        <w:autoSpaceDN w:val="0"/>
        <w:adjustRightInd w:val="0"/>
        <w:spacing w:line="360" w:lineRule="exact"/>
        <w:jc w:val="left"/>
        <w:rPr>
          <w:rFonts w:hint="default"/>
          <w:sz w:val="22"/>
        </w:rPr>
      </w:pPr>
    </w:p>
    <w:p>
      <w:pPr>
        <w:pStyle w:val="0"/>
        <w:numPr>
          <w:ilvl w:val="0"/>
          <w:numId w:val="3"/>
        </w:numPr>
        <w:autoSpaceDE w:val="0"/>
        <w:autoSpaceDN w:val="0"/>
        <w:adjustRightInd w:val="0"/>
        <w:spacing w:line="360" w:lineRule="exact"/>
        <w:jc w:val="left"/>
        <w:rPr>
          <w:rFonts w:hint="default"/>
          <w:sz w:val="22"/>
        </w:rPr>
      </w:pPr>
      <w:r>
        <w:rPr>
          <w:rFonts w:hint="eastAsia"/>
        </w:rPr>
        <w:t>県内では、障害福祉団体の要望、意見等を踏まえた障害者差別解消条例が、</w:t>
      </w:r>
      <w:r>
        <w:rPr>
          <w:rFonts w:hint="eastAsia"/>
        </w:rPr>
        <w:t>2017</w:t>
      </w:r>
      <w:r>
        <w:rPr>
          <w:rFonts w:hint="eastAsia"/>
        </w:rPr>
        <w:t>年３月に公布、同年４月に施行されました。</w:t>
      </w:r>
    </w:p>
    <w:p>
      <w:pPr>
        <w:pStyle w:val="0"/>
        <w:autoSpaceDE w:val="0"/>
        <w:autoSpaceDN w:val="0"/>
        <w:adjustRightInd w:val="0"/>
        <w:spacing w:line="360" w:lineRule="exact"/>
        <w:ind w:left="576"/>
        <w:jc w:val="left"/>
        <w:rPr>
          <w:rFonts w:hint="default"/>
          <w:sz w:val="22"/>
        </w:rPr>
      </w:pPr>
    </w:p>
    <w:p>
      <w:pPr>
        <w:pStyle w:val="0"/>
        <w:numPr>
          <w:ilvl w:val="0"/>
          <w:numId w:val="3"/>
        </w:numPr>
        <w:autoSpaceDE w:val="0"/>
        <w:autoSpaceDN w:val="0"/>
        <w:adjustRightInd w:val="0"/>
        <w:spacing w:line="360" w:lineRule="exact"/>
        <w:jc w:val="left"/>
        <w:rPr>
          <w:rFonts w:hint="default"/>
          <w:sz w:val="22"/>
        </w:rPr>
      </w:pPr>
      <w:r>
        <w:rPr>
          <w:rFonts w:hint="eastAsia"/>
        </w:rPr>
        <w:t>県が</w:t>
      </w:r>
      <w:r>
        <w:rPr>
          <w:rFonts w:hint="eastAsia"/>
        </w:rPr>
        <w:t>2020</w:t>
      </w:r>
      <w:r>
        <w:rPr>
          <w:rFonts w:hint="eastAsia"/>
        </w:rPr>
        <w:t>年度に実施した「県政インターネットモニターアンケート」によると、障害者差別解消法やヘルプマークについては、県民の約半数が知っているなど、</w:t>
      </w:r>
      <w:r>
        <w:rPr>
          <w:rFonts w:hint="eastAsia"/>
        </w:rPr>
        <w:t>5</w:t>
      </w:r>
      <w:r>
        <w:rPr>
          <w:rFonts w:hint="eastAsia"/>
        </w:rPr>
        <w:t>年前と比較して着実に認知度が上昇していますが、合理的配慮</w:t>
      </w:r>
      <w:r>
        <w:rPr>
          <w:rFonts w:hint="eastAsia"/>
          <w:color w:val="000000" w:themeColor="text1"/>
          <w:spacing w:val="-4"/>
          <w:kern w:val="0"/>
          <w:vertAlign w:val="superscript"/>
        </w:rPr>
        <w:t>＊</w:t>
      </w:r>
      <w:r>
        <w:rPr>
          <w:rFonts w:hint="eastAsia"/>
        </w:rPr>
        <w:t>の言葉や内容を知っている人は</w:t>
      </w:r>
      <w:r>
        <w:rPr>
          <w:rFonts w:hint="eastAsia"/>
        </w:rPr>
        <w:t>23.5%</w:t>
      </w:r>
      <w:r>
        <w:rPr>
          <w:rFonts w:hint="eastAsia"/>
        </w:rPr>
        <w:t>に留まり、県民への理解、認識が十分に進んでいません。</w:t>
      </w:r>
    </w:p>
    <w:p>
      <w:pPr>
        <w:pStyle w:val="0"/>
        <w:autoSpaceDE w:val="0"/>
        <w:autoSpaceDN w:val="0"/>
        <w:adjustRightInd w:val="0"/>
        <w:spacing w:line="360" w:lineRule="exact"/>
        <w:ind w:left="576"/>
        <w:jc w:val="left"/>
        <w:rPr>
          <w:rFonts w:hint="default"/>
          <w:sz w:val="22"/>
        </w:rPr>
      </w:pPr>
    </w:p>
    <w:p>
      <w:pPr>
        <w:pStyle w:val="0"/>
        <w:numPr>
          <w:ilvl w:val="0"/>
          <w:numId w:val="3"/>
        </w:numPr>
        <w:autoSpaceDE w:val="0"/>
        <w:autoSpaceDN w:val="0"/>
        <w:adjustRightInd w:val="0"/>
        <w:spacing w:line="360" w:lineRule="exact"/>
        <w:jc w:val="left"/>
        <w:rPr>
          <w:rFonts w:hint="default"/>
          <w:sz w:val="22"/>
        </w:rPr>
      </w:pPr>
      <w:r>
        <w:rPr>
          <w:rFonts w:hint="eastAsia"/>
          <w:kern w:val="0"/>
        </w:rPr>
        <w:t>県が</w:t>
      </w:r>
      <w:r>
        <w:rPr>
          <w:rFonts w:hint="eastAsia"/>
          <w:kern w:val="0"/>
        </w:rPr>
        <w:t>2019</w:t>
      </w:r>
      <w:r>
        <w:rPr>
          <w:rFonts w:hint="eastAsia"/>
          <w:kern w:val="0"/>
        </w:rPr>
        <w:t>年度に実施した「人権問題に関する県民意識調査」によると、障害のある人をめぐる人権上の問題点として、</w:t>
      </w:r>
      <w:r>
        <w:rPr>
          <w:rFonts w:hint="eastAsia"/>
        </w:rPr>
        <w:t>49.9%</w:t>
      </w:r>
      <w:r>
        <w:rPr>
          <w:rFonts w:hint="eastAsia"/>
          <w:kern w:val="0"/>
        </w:rPr>
        <w:t>の人が「障害のある人に対して社会の中に偏見や差別意識があること」と回答しており、５年前と比較して約７ポイント改善されています。</w:t>
      </w:r>
    </w:p>
    <w:p>
      <w:pPr>
        <w:pStyle w:val="0"/>
        <w:spacing w:line="360" w:lineRule="exact"/>
        <w:rPr>
          <w:rFonts w:hint="default"/>
        </w:rPr>
      </w:pPr>
    </w:p>
    <w:p>
      <w:pPr>
        <w:pStyle w:val="0"/>
        <w:rPr>
          <w:rFonts w:hint="default"/>
        </w:rPr>
      </w:pPr>
      <w:r>
        <w:rPr>
          <w:rFonts w:hint="eastAsia" w:ascii="ＭＳ ゴシック" w:hAnsi="ＭＳ ゴシック" w:eastAsia="ＭＳ ゴシック"/>
        </w:rPr>
        <w:t>【県の取組】</w:t>
      </w:r>
    </w:p>
    <w:p>
      <w:pPr>
        <w:pStyle w:val="0"/>
        <w:ind w:firstLine="240" w:firstLineChars="100"/>
        <w:rPr>
          <w:rFonts w:hint="default" w:ascii="ＭＳ ゴシック" w:hAnsi="ＭＳ ゴシック" w:eastAsia="ＭＳ ゴシック"/>
        </w:rPr>
      </w:pPr>
      <w:r>
        <w:rPr>
          <w:rFonts w:hint="eastAsia" w:ascii="ＭＳ ゴシック" w:hAnsi="ＭＳ ゴシック" w:eastAsia="ＭＳ ゴシック"/>
        </w:rPr>
        <w:t>ア　障害に対する正しい理解と合理的配慮</w:t>
      </w:r>
      <w:r>
        <w:rPr>
          <w:rFonts w:hint="eastAsia"/>
          <w:color w:val="000000" w:themeColor="text1"/>
          <w:spacing w:val="-4"/>
          <w:kern w:val="0"/>
          <w:vertAlign w:val="superscript"/>
        </w:rPr>
        <w:t>＊</w:t>
      </w:r>
      <w:r>
        <w:rPr>
          <w:rFonts w:hint="eastAsia" w:ascii="ＭＳ ゴシック" w:hAnsi="ＭＳ ゴシック" w:eastAsia="ＭＳ ゴシック"/>
        </w:rPr>
        <w:t>の推進</w:t>
      </w:r>
    </w:p>
    <w:p>
      <w:pPr>
        <w:pStyle w:val="0"/>
        <w:numPr>
          <w:ilvl w:val="0"/>
          <w:numId w:val="4"/>
        </w:numPr>
        <w:autoSpaceDE w:val="0"/>
        <w:autoSpaceDN w:val="0"/>
        <w:adjustRightInd w:val="0"/>
        <w:spacing w:line="360" w:lineRule="exact"/>
        <w:jc w:val="left"/>
        <w:rPr>
          <w:rFonts w:hint="default"/>
          <w:spacing w:val="-4"/>
          <w:kern w:val="0"/>
          <w:sz w:val="16"/>
        </w:rPr>
      </w:pPr>
      <w:r>
        <w:rPr>
          <w:rFonts w:hint="eastAsia"/>
          <w:kern w:val="0"/>
        </w:rPr>
        <w:t>障害及び障害のある人に関する正しい知識を県民が習得するため、障害当事者と協働した啓発活動など必要な施策を実施します。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4"/>
        </w:numPr>
        <w:autoSpaceDE w:val="0"/>
        <w:autoSpaceDN w:val="0"/>
        <w:adjustRightInd w:val="0"/>
        <w:spacing w:line="360" w:lineRule="exact"/>
        <w:jc w:val="left"/>
        <w:rPr>
          <w:rFonts w:hint="default"/>
          <w:spacing w:val="-4"/>
          <w:kern w:val="0"/>
          <w:sz w:val="16"/>
        </w:rPr>
      </w:pPr>
      <w:r>
        <w:rPr>
          <w:rFonts w:hint="eastAsia"/>
          <w:kern w:val="0"/>
        </w:rPr>
        <w:t>障害者差別解消条例に基づく「障害を理由とする差別解消推進県民会議」</w:t>
      </w:r>
      <w:r>
        <w:rPr>
          <w:rFonts w:hint="eastAsia"/>
          <w:spacing w:val="-4"/>
          <w:kern w:val="0"/>
          <w:vertAlign w:val="superscript"/>
        </w:rPr>
        <w:t>＊</w:t>
      </w:r>
      <w:r>
        <w:rPr>
          <w:rFonts w:hint="eastAsia"/>
          <w:kern w:val="0"/>
        </w:rPr>
        <w:t>を開催し、広く県民の意見を反映し、県民と一体となって障害を理由とする差別の解消の推進を図ります。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autoSpaceDE w:val="0"/>
        <w:autoSpaceDN w:val="0"/>
        <w:adjustRightInd w:val="0"/>
        <w:ind w:left="868"/>
        <w:jc w:val="left"/>
        <w:rPr>
          <w:rFonts w:hint="default"/>
          <w:spacing w:val="-4"/>
          <w:kern w:val="0"/>
          <w:sz w:val="16"/>
        </w:rPr>
      </w:pPr>
    </w:p>
    <w:p>
      <w:pPr>
        <w:pStyle w:val="0"/>
        <w:numPr>
          <w:ilvl w:val="0"/>
          <w:numId w:val="4"/>
        </w:numPr>
        <w:autoSpaceDE w:val="0"/>
        <w:autoSpaceDN w:val="0"/>
        <w:adjustRightInd w:val="0"/>
        <w:spacing w:line="360" w:lineRule="exact"/>
        <w:jc w:val="left"/>
        <w:rPr>
          <w:rFonts w:hint="default"/>
          <w:spacing w:val="-4"/>
          <w:kern w:val="0"/>
          <w:sz w:val="16"/>
        </w:rPr>
      </w:pPr>
      <w:r>
        <w:rPr>
          <w:rFonts w:hint="eastAsia"/>
          <w:spacing w:val="-4"/>
          <w:kern w:val="0"/>
        </w:rPr>
        <w:t>2021</w:t>
      </w:r>
      <w:r>
        <w:rPr>
          <w:rFonts w:hint="eastAsia"/>
          <w:spacing w:val="-4"/>
          <w:kern w:val="0"/>
        </w:rPr>
        <w:t>年</w:t>
      </w:r>
      <w:r>
        <w:rPr>
          <w:rFonts w:hint="eastAsia"/>
          <w:spacing w:val="-4"/>
          <w:kern w:val="0"/>
        </w:rPr>
        <w:t>6</w:t>
      </w:r>
      <w:r>
        <w:rPr>
          <w:rFonts w:hint="eastAsia"/>
          <w:spacing w:val="-4"/>
          <w:kern w:val="0"/>
        </w:rPr>
        <w:t>月の改正障害者差別解消法を踏まえ、本県においても民間事業者による「合理的配慮</w:t>
      </w:r>
      <w:r>
        <w:rPr>
          <w:rFonts w:hint="eastAsia"/>
          <w:color w:val="000000" w:themeColor="text1"/>
          <w:spacing w:val="-4"/>
          <w:kern w:val="0"/>
          <w:vertAlign w:val="superscript"/>
        </w:rPr>
        <w:t>＊</w:t>
      </w:r>
      <w:r>
        <w:rPr>
          <w:rFonts w:hint="eastAsia"/>
          <w:spacing w:val="-4"/>
          <w:kern w:val="0"/>
        </w:rPr>
        <w:t>の提供」義務化を盛り込んだ障害者差別解消条例の改正を行います。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4"/>
        </w:numPr>
        <w:autoSpaceDE w:val="0"/>
        <w:autoSpaceDN w:val="0"/>
        <w:adjustRightInd w:val="0"/>
        <w:spacing w:line="360" w:lineRule="exact"/>
        <w:jc w:val="left"/>
        <w:rPr>
          <w:rFonts w:hint="default"/>
          <w:spacing w:val="-4"/>
          <w:kern w:val="0"/>
          <w:sz w:val="16"/>
        </w:rPr>
      </w:pPr>
      <w:r>
        <w:rPr>
          <w:rFonts w:hint="eastAsia"/>
          <w:kern w:val="0"/>
        </w:rPr>
        <w:t>改正障害者差別解消法の施行までに、全ての民間事業者において「合理的配慮</w:t>
      </w:r>
      <w:r>
        <w:rPr>
          <w:rFonts w:hint="eastAsia"/>
          <w:color w:val="000000" w:themeColor="text1"/>
          <w:spacing w:val="-4"/>
          <w:kern w:val="0"/>
          <w:vertAlign w:val="superscript"/>
        </w:rPr>
        <w:t>＊</w:t>
      </w:r>
      <w:r>
        <w:rPr>
          <w:rFonts w:hint="eastAsia"/>
          <w:kern w:val="0"/>
        </w:rPr>
        <w:t>の提供」ができるよう、取組事例の作成、出前講座などにより、より一層の周知啓発を行います。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4"/>
        </w:numPr>
        <w:autoSpaceDE w:val="0"/>
        <w:autoSpaceDN w:val="0"/>
        <w:adjustRightInd w:val="0"/>
        <w:spacing w:line="360" w:lineRule="exact"/>
        <w:jc w:val="left"/>
        <w:rPr>
          <w:rFonts w:hint="default"/>
          <w:spacing w:val="-4"/>
          <w:kern w:val="0"/>
          <w:sz w:val="16"/>
        </w:rPr>
      </w:pPr>
      <w:r>
        <w:rPr>
          <w:rFonts w:hint="eastAsia"/>
          <w:spacing w:val="-4"/>
          <w:kern w:val="0"/>
        </w:rPr>
        <w:t>静岡県障害者差別解消相談窓口に専門の相談員を配置し、障害を理由とする差別に関する相談に対応します。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4"/>
        </w:numPr>
        <w:autoSpaceDE w:val="0"/>
        <w:autoSpaceDN w:val="0"/>
        <w:adjustRightInd w:val="0"/>
        <w:spacing w:line="360" w:lineRule="exact"/>
        <w:jc w:val="left"/>
        <w:rPr>
          <w:rFonts w:hint="default"/>
          <w:spacing w:val="-4"/>
          <w:kern w:val="0"/>
          <w:sz w:val="16"/>
        </w:rPr>
      </w:pPr>
      <w:r>
        <w:rPr>
          <w:rFonts w:hint="eastAsia"/>
          <w:spacing w:val="-4"/>
          <w:kern w:val="0"/>
        </w:rPr>
        <w:t>障害を理由とする差別事案の解決を図る申立てがあったときは、静岡県障害者差別解消支援協議会による助言・あっせんや、知事による勧告、公表により紛争の解決を図ります。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4"/>
        </w:numPr>
        <w:autoSpaceDE w:val="0"/>
        <w:autoSpaceDN w:val="0"/>
        <w:adjustRightInd w:val="0"/>
        <w:spacing w:line="360" w:lineRule="exact"/>
        <w:jc w:val="left"/>
        <w:rPr>
          <w:rFonts w:hint="default"/>
          <w:spacing w:val="-4"/>
          <w:kern w:val="0"/>
          <w:sz w:val="16"/>
        </w:rPr>
      </w:pPr>
      <w:r>
        <w:rPr>
          <w:rFonts w:hint="eastAsia"/>
          <w:spacing w:val="-4"/>
          <w:kern w:val="0"/>
        </w:rPr>
        <w:t>障害を理由とする差別を解消するための取組に関し顕著な功績があった個人、事業者又は団体を表彰します。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4"/>
        </w:numPr>
        <w:autoSpaceDE w:val="0"/>
        <w:autoSpaceDN w:val="0"/>
        <w:adjustRightInd w:val="0"/>
        <w:spacing w:line="360" w:lineRule="exact"/>
        <w:jc w:val="left"/>
        <w:rPr>
          <w:rFonts w:hint="default"/>
          <w:spacing w:val="-4"/>
          <w:kern w:val="0"/>
          <w:sz w:val="16"/>
        </w:rPr>
      </w:pPr>
      <w:r>
        <w:rPr>
          <w:rFonts w:hint="eastAsia"/>
          <w:spacing w:val="-4"/>
          <w:kern w:val="0"/>
        </w:rPr>
        <w:t>義足や人工関節の人、難病の人など援助を必要としていることが外見で分からない人々が必要な援助を得やすくするための「ヘルプマーク」の配布、企業等への出前講座等による啓発、警察などへの周知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4"/>
        </w:numPr>
        <w:autoSpaceDE w:val="0"/>
        <w:autoSpaceDN w:val="0"/>
        <w:adjustRightInd w:val="0"/>
        <w:spacing w:line="360" w:lineRule="exact"/>
        <w:jc w:val="left"/>
        <w:rPr>
          <w:rFonts w:hint="default"/>
          <w:spacing w:val="-4"/>
          <w:kern w:val="0"/>
          <w:sz w:val="16"/>
        </w:rPr>
      </w:pPr>
      <w:r>
        <w:rPr>
          <w:rFonts w:hint="eastAsia"/>
          <w:spacing w:val="-4"/>
          <w:kern w:val="0"/>
        </w:rPr>
        <w:t>日常生活においても障害のある人への声かけを行う「声かけサポーター」の養成を図ります。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ind w:left="868"/>
        <w:jc w:val="left"/>
        <w:rPr>
          <w:rFonts w:hint="default"/>
          <w:spacing w:val="-4"/>
          <w:kern w:val="0"/>
          <w:sz w:val="16"/>
        </w:rPr>
      </w:pPr>
    </w:p>
    <w:p>
      <w:pPr>
        <w:pStyle w:val="0"/>
        <w:autoSpaceDE w:val="0"/>
        <w:autoSpaceDN w:val="0"/>
        <w:adjustRightInd w:val="0"/>
        <w:jc w:val="left"/>
        <w:rPr>
          <w:rFonts w:hint="default"/>
          <w:spacing w:val="-4"/>
          <w:kern w:val="0"/>
        </w:rPr>
      </w:pPr>
      <w:r>
        <w:rPr>
          <w:rFonts w:hint="eastAsia" w:ascii="ＭＳ ゴシック" w:hAnsi="ＭＳ ゴシック" w:eastAsia="ＭＳ ゴシック"/>
        </w:rPr>
        <w:t>イ　啓発・広報の推進</w:t>
      </w:r>
    </w:p>
    <w:p>
      <w:pPr>
        <w:pStyle w:val="0"/>
        <w:numPr>
          <w:ilvl w:val="0"/>
          <w:numId w:val="5"/>
        </w:numPr>
        <w:autoSpaceDE w:val="0"/>
        <w:autoSpaceDN w:val="0"/>
        <w:adjustRightInd w:val="0"/>
        <w:spacing w:line="360" w:lineRule="exact"/>
        <w:jc w:val="left"/>
        <w:rPr>
          <w:rFonts w:hint="default"/>
          <w:spacing w:val="-4"/>
          <w:kern w:val="0"/>
          <w:sz w:val="16"/>
        </w:rPr>
      </w:pPr>
      <w:r>
        <w:rPr>
          <w:rFonts w:hint="eastAsia"/>
          <w:kern w:val="0"/>
        </w:rPr>
        <w:t>障害のある人もない人も相互に人格と個性を尊重し、支え合う共生社会の理念の浸透のため、「障害者週間」</w:t>
      </w:r>
      <w:r>
        <w:rPr>
          <w:rFonts w:hint="eastAsia"/>
          <w:spacing w:val="-4"/>
          <w:kern w:val="0"/>
          <w:vertAlign w:val="superscript"/>
        </w:rPr>
        <w:t>＊</w:t>
      </w:r>
      <w:r>
        <w:rPr>
          <w:rFonts w:hint="eastAsia"/>
          <w:kern w:val="0"/>
        </w:rPr>
        <w:t>（</w:t>
      </w:r>
      <w:r>
        <w:rPr>
          <w:rFonts w:hint="eastAsia"/>
          <w:kern w:val="0"/>
        </w:rPr>
        <w:t>12</w:t>
      </w:r>
      <w:r>
        <w:rPr>
          <w:rFonts w:hint="eastAsia"/>
          <w:kern w:val="0"/>
        </w:rPr>
        <w:t>月３日～９日）や「精神保健福祉普及運動週間」（</w:t>
      </w:r>
      <w:r>
        <w:rPr>
          <w:rFonts w:hint="eastAsia"/>
          <w:kern w:val="0"/>
        </w:rPr>
        <w:t>10</w:t>
      </w:r>
      <w:r>
        <w:rPr>
          <w:rFonts w:hint="eastAsia"/>
          <w:kern w:val="0"/>
        </w:rPr>
        <w:t>月）、「人権週間」（</w:t>
      </w:r>
      <w:r>
        <w:rPr>
          <w:rFonts w:hint="eastAsia"/>
          <w:kern w:val="0"/>
        </w:rPr>
        <w:t>12</w:t>
      </w:r>
      <w:r>
        <w:rPr>
          <w:rFonts w:hint="eastAsia"/>
          <w:kern w:val="0"/>
        </w:rPr>
        <w:t>月４日～</w:t>
      </w:r>
      <w:r>
        <w:rPr>
          <w:rFonts w:hint="eastAsia"/>
          <w:kern w:val="0"/>
        </w:rPr>
        <w:t>10</w:t>
      </w:r>
      <w:r>
        <w:rPr>
          <w:rFonts w:hint="eastAsia"/>
          <w:kern w:val="0"/>
        </w:rPr>
        <w:t>日）、「愛の援聴週間</w:t>
      </w:r>
      <w:r>
        <w:rPr>
          <w:rFonts w:hint="eastAsia"/>
          <w:kern w:val="0"/>
          <w:vertAlign w:val="superscript"/>
        </w:rPr>
        <w:t>＊</w:t>
      </w:r>
      <w:r>
        <w:rPr>
          <w:rFonts w:hint="eastAsia"/>
          <w:kern w:val="0"/>
        </w:rPr>
        <w:t>」（３月３日～９日）</w:t>
      </w:r>
      <w:r>
        <w:rPr>
          <w:rFonts w:hint="eastAsia"/>
          <w:kern w:val="0"/>
          <w:u w:val="none" w:color="auto"/>
        </w:rPr>
        <w:t>「世界自閉症啓発デー」（４月２日）、「発達障害啓発週間」（４月２日～８日）</w:t>
      </w:r>
      <w:r>
        <w:rPr>
          <w:rFonts w:hint="eastAsia"/>
          <w:kern w:val="0"/>
        </w:rPr>
        <w:t>など様々な機会をとらえ、障害のある人や関係団体、市町と連携を図りながら、障害のある人に対する理解を図るための啓発活動を推進します。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5"/>
        </w:numPr>
        <w:autoSpaceDE w:val="0"/>
        <w:autoSpaceDN w:val="0"/>
        <w:adjustRightInd w:val="0"/>
        <w:spacing w:line="360" w:lineRule="exact"/>
        <w:jc w:val="left"/>
        <w:rPr>
          <w:rFonts w:hint="default"/>
          <w:spacing w:val="-4"/>
          <w:kern w:val="0"/>
          <w:sz w:val="16"/>
        </w:rPr>
      </w:pPr>
      <w:r>
        <w:rPr>
          <w:rFonts w:hint="eastAsia"/>
          <w:kern w:val="0"/>
        </w:rPr>
        <w:t>障害のある人とのふれあい・交流をテーマとした「心の輪を広げる体験作文」や障害者週間</w:t>
      </w:r>
      <w:r>
        <w:rPr>
          <w:rFonts w:hint="eastAsia"/>
          <w:spacing w:val="-4"/>
          <w:kern w:val="0"/>
          <w:vertAlign w:val="superscript"/>
        </w:rPr>
        <w:t>＊</w:t>
      </w:r>
      <w:r>
        <w:rPr>
          <w:rFonts w:hint="eastAsia"/>
          <w:kern w:val="0"/>
        </w:rPr>
        <w:t>のポスターを広く県民から募集し、障害及び障害のある人に対する理解を促進します。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5"/>
        </w:numPr>
        <w:autoSpaceDE w:val="0"/>
        <w:autoSpaceDN w:val="0"/>
        <w:adjustRightInd w:val="0"/>
        <w:spacing w:line="360" w:lineRule="exact"/>
        <w:jc w:val="left"/>
        <w:rPr>
          <w:rFonts w:hint="default"/>
          <w:spacing w:val="-4"/>
          <w:kern w:val="0"/>
          <w:sz w:val="16"/>
        </w:rPr>
      </w:pPr>
      <w:r>
        <w:rPr>
          <w:rFonts w:hint="eastAsia"/>
          <w:kern w:val="0"/>
        </w:rPr>
        <w:t>全ての県民が障害の有無に関わらずお互いを理解し、認め合い助け合って生活していくため、幼少期からの相互理解を深める教育や地域における交流を推進します</w:t>
      </w:r>
    </w:p>
    <w:p>
      <w:pPr>
        <w:pStyle w:val="0"/>
        <w:numPr>
          <w:ilvl w:val="0"/>
          <w:numId w:val="5"/>
        </w:numPr>
        <w:autoSpaceDE w:val="0"/>
        <w:autoSpaceDN w:val="0"/>
        <w:adjustRightInd w:val="0"/>
        <w:spacing w:line="360" w:lineRule="exact"/>
        <w:jc w:val="left"/>
        <w:rPr>
          <w:rFonts w:hint="default" w:ascii="ＭＳ ゴシック" w:hAnsi="ＭＳ ゴシック" w:eastAsia="ＭＳ ゴシック"/>
        </w:rPr>
      </w:pPr>
      <w:r>
        <w:rPr>
          <w:rFonts w:hint="eastAsia"/>
          <w:kern w:val="0"/>
        </w:rPr>
        <w:t>身体障害者補助犬</w:t>
      </w:r>
      <w:r>
        <w:rPr>
          <w:rFonts w:hint="eastAsia"/>
          <w:spacing w:val="-4"/>
          <w:kern w:val="0"/>
          <w:vertAlign w:val="superscript"/>
        </w:rPr>
        <w:t>＊</w:t>
      </w:r>
      <w:r>
        <w:rPr>
          <w:rFonts w:hint="eastAsia"/>
          <w:kern w:val="0"/>
        </w:rPr>
        <w:t>が果たす役割の重要性について、県民の理解を深めるため、パンフレットの作成配布、小学校等での講習会の開催などの広報啓発を行います。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numPr>
          <w:numId w:val="0"/>
        </w:numPr>
        <w:autoSpaceDE w:val="0"/>
        <w:autoSpaceDN w:val="0"/>
        <w:adjustRightInd w:val="0"/>
        <w:spacing w:line="360" w:lineRule="exact"/>
        <w:ind w:left="868" w:leftChars="0" w:firstLine="0" w:firstLineChars="0"/>
        <w:jc w:val="left"/>
        <w:rPr>
          <w:rFonts w:hint="default" w:ascii="ＭＳ ゴシック" w:hAnsi="ＭＳ ゴシック" w:eastAsia="ＭＳ ゴシック"/>
        </w:rPr>
      </w:pPr>
    </w:p>
    <w:p>
      <w:pPr>
        <w:pStyle w:val="0"/>
        <w:numPr>
          <w:ilvl w:val="0"/>
          <w:numId w:val="5"/>
        </w:numPr>
        <w:autoSpaceDE w:val="0"/>
        <w:autoSpaceDN w:val="0"/>
        <w:adjustRightInd w:val="0"/>
        <w:spacing w:line="360" w:lineRule="exact"/>
        <w:jc w:val="left"/>
        <w:rPr>
          <w:rFonts w:hint="eastAsia" w:ascii="ＭＳ 明朝" w:hAnsi="ＭＳ 明朝" w:eastAsia="ＭＳ 明朝"/>
        </w:rPr>
      </w:pPr>
      <w:r>
        <w:rPr>
          <w:rFonts w:hint="eastAsia" w:ascii="ＭＳ 明朝" w:hAnsi="ＭＳ 明朝" w:eastAsia="ＭＳ 明朝"/>
          <w:u w:val="none" w:color="auto"/>
        </w:rPr>
        <w:t>「ふじのくに福産品」</w:t>
      </w:r>
      <w:r>
        <w:rPr>
          <w:rFonts w:hint="eastAsia"/>
          <w:spacing w:val="-4"/>
          <w:kern w:val="0"/>
          <w:u w:val="none" w:color="auto"/>
          <w:vertAlign w:val="superscript"/>
        </w:rPr>
        <w:t>＊</w:t>
      </w:r>
      <w:r>
        <w:rPr>
          <w:rFonts w:hint="eastAsia" w:ascii="ＭＳ 明朝" w:hAnsi="ＭＳ 明朝" w:eastAsia="ＭＳ 明朝"/>
          <w:u w:val="none" w:color="auto"/>
        </w:rPr>
        <w:t>の愛称、ロゴマークを活用したＰＲや「ふじのくに福産品一人一品運動」</w:t>
      </w:r>
      <w:r>
        <w:rPr>
          <w:rFonts w:hint="eastAsia"/>
          <w:spacing w:val="-4"/>
          <w:kern w:val="0"/>
          <w:u w:val="none" w:color="auto"/>
          <w:vertAlign w:val="superscript"/>
        </w:rPr>
        <w:t>＊</w:t>
      </w:r>
      <w:r>
        <w:rPr>
          <w:rFonts w:hint="eastAsia" w:ascii="ＭＳ 明朝" w:hAnsi="ＭＳ 明朝" w:eastAsia="ＭＳ 明朝"/>
          <w:u w:val="none" w:color="auto"/>
        </w:rPr>
        <w:t>による販路拡大を通じて、県民への障害のある人に対する理解を促進します。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ascii="ＭＳ ゴシック" w:hAnsi="ＭＳ ゴシック" w:eastAsia="ＭＳ ゴシック"/>
        </w:rPr>
      </w:pPr>
    </w:p>
    <w:p>
      <w:pPr>
        <w:pStyle w:val="0"/>
        <w:autoSpaceDE w:val="0"/>
        <w:autoSpaceDN w:val="0"/>
        <w:adjustRightInd w:val="0"/>
        <w:ind w:firstLine="240" w:firstLineChars="100"/>
        <w:jc w:val="left"/>
        <w:rPr>
          <w:rFonts w:hint="default" w:ascii="ＭＳ ゴシック" w:hAnsi="ＭＳ ゴシック" w:eastAsia="ＭＳ ゴシック"/>
        </w:rPr>
      </w:pPr>
      <w:r>
        <w:rPr>
          <w:rFonts w:hint="eastAsia" w:ascii="ＭＳ ゴシック" w:hAnsi="ＭＳ ゴシック" w:eastAsia="ＭＳ ゴシック"/>
        </w:rPr>
        <w:t>ウ　心のユニバーサルデザイン</w:t>
      </w:r>
      <w:r>
        <w:rPr>
          <w:rFonts w:hint="eastAsia"/>
          <w:spacing w:val="-4"/>
          <w:kern w:val="0"/>
          <w:vertAlign w:val="superscript"/>
        </w:rPr>
        <w:t>＊</w:t>
      </w:r>
      <w:r>
        <w:rPr>
          <w:rFonts w:hint="eastAsia" w:ascii="ＭＳ ゴシック" w:hAnsi="ＭＳ ゴシック" w:eastAsia="ＭＳ ゴシック"/>
        </w:rPr>
        <w:t>の普及</w:t>
      </w:r>
    </w:p>
    <w:p>
      <w:pPr>
        <w:pStyle w:val="0"/>
        <w:numPr>
          <w:ilvl w:val="0"/>
          <w:numId w:val="6"/>
        </w:numPr>
        <w:autoSpaceDE w:val="0"/>
        <w:autoSpaceDN w:val="0"/>
        <w:adjustRightInd w:val="0"/>
        <w:spacing w:line="360" w:lineRule="exact"/>
        <w:jc w:val="left"/>
        <w:rPr>
          <w:rFonts w:hint="default"/>
          <w:spacing w:val="-4"/>
          <w:kern w:val="0"/>
          <w:sz w:val="16"/>
        </w:rPr>
      </w:pPr>
      <w:r>
        <w:rPr>
          <w:rFonts w:hint="eastAsia"/>
          <w:spacing w:val="-4"/>
          <w:kern w:val="0"/>
        </w:rPr>
        <w:t>共生社会への理解を深めるため、ユニバーサルデザインの理念や知識を学ぶ講座や、「心のユニバーサルデザイン」を促進するため、誹謗中傷・差別の防止や、障害のある人や高齢者のサポートなど様々な事例に対応するための実践的な講座を実施します。</w:t>
      </w:r>
      <w:r>
        <w:rPr>
          <w:rFonts w:hint="eastAsia"/>
          <w:spacing w:val="-4"/>
          <w:kern w:val="0"/>
          <w:sz w:val="16"/>
        </w:rPr>
        <w:t>[</w:t>
      </w:r>
      <w:r>
        <w:rPr>
          <w:rFonts w:hint="eastAsia"/>
          <w:spacing w:val="-4"/>
          <w:kern w:val="0"/>
          <w:sz w:val="16"/>
        </w:rPr>
        <w:t>くらし</w:t>
      </w:r>
      <w:r>
        <w:rPr>
          <w:rFonts w:hint="eastAsia"/>
          <w:kern w:val="0"/>
          <w:sz w:val="16"/>
        </w:rPr>
        <w:t>・</w:t>
      </w:r>
      <w:r>
        <w:rPr>
          <w:rFonts w:hint="eastAsia"/>
          <w:spacing w:val="-4"/>
          <w:kern w:val="0"/>
          <w:sz w:val="16"/>
        </w:rPr>
        <w:t>環境部県民生活局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autoSpaceDE w:val="0"/>
        <w:autoSpaceDN w:val="0"/>
        <w:adjustRightInd w:val="0"/>
        <w:ind w:firstLine="240" w:firstLineChars="100"/>
        <w:jc w:val="left"/>
        <w:rPr>
          <w:rFonts w:hint="default" w:ascii="ＭＳ ゴシック" w:hAnsi="ＭＳ ゴシック" w:eastAsia="ＭＳ ゴシック"/>
          <w:kern w:val="0"/>
        </w:rPr>
      </w:pPr>
      <w:r>
        <w:rPr>
          <w:rFonts w:hint="eastAsia" w:ascii="ＭＳ ゴシック" w:hAnsi="ＭＳ ゴシック" w:eastAsia="ＭＳ ゴシック"/>
        </w:rPr>
        <w:t>エ　</w:t>
      </w:r>
      <w:r>
        <w:rPr>
          <w:rFonts w:hint="eastAsia" w:ascii="ＭＳ ゴシック" w:hAnsi="ＭＳ ゴシック" w:eastAsia="ＭＳ ゴシック"/>
          <w:kern w:val="0"/>
        </w:rPr>
        <w:t>人権教育・人権啓発等の推進</w:t>
      </w:r>
    </w:p>
    <w:p>
      <w:pPr>
        <w:pStyle w:val="0"/>
        <w:numPr>
          <w:ilvl w:val="0"/>
          <w:numId w:val="7"/>
        </w:numPr>
        <w:autoSpaceDE w:val="0"/>
        <w:autoSpaceDN w:val="0"/>
        <w:adjustRightInd w:val="0"/>
        <w:spacing w:line="360" w:lineRule="exact"/>
        <w:jc w:val="left"/>
        <w:rPr>
          <w:rFonts w:hint="default"/>
          <w:spacing w:val="-4"/>
          <w:kern w:val="0"/>
          <w:sz w:val="16"/>
        </w:rPr>
      </w:pPr>
      <w:r>
        <w:rPr>
          <w:rFonts w:hint="eastAsia"/>
          <w:kern w:val="0"/>
        </w:rPr>
        <w:t>障害のある人の人権が尊重されるよう、人権啓発センター</w:t>
      </w:r>
      <w:r>
        <w:rPr>
          <w:rFonts w:hint="eastAsia"/>
          <w:spacing w:val="-4"/>
          <w:kern w:val="0"/>
          <w:vertAlign w:val="superscript"/>
        </w:rPr>
        <w:t>＊</w:t>
      </w:r>
      <w:r>
        <w:rPr>
          <w:rFonts w:hint="eastAsia"/>
          <w:kern w:val="0"/>
        </w:rPr>
        <w:t>を中心に学校、地域社会、関係機関と連携しながら、出前人権講座や講演会などの開催、マスメディアを活用した効果的な広報活動の展開などあらゆる場における人権教育・人権啓発を推進します。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7"/>
        </w:numPr>
        <w:autoSpaceDE w:val="0"/>
        <w:autoSpaceDN w:val="0"/>
        <w:adjustRightInd w:val="0"/>
        <w:spacing w:line="360" w:lineRule="exact"/>
        <w:jc w:val="left"/>
        <w:rPr>
          <w:rFonts w:hint="default"/>
        </w:rPr>
      </w:pPr>
      <w:r>
        <w:rPr>
          <w:rFonts w:hint="eastAsia"/>
          <w:kern w:val="0"/>
        </w:rPr>
        <w:t>人権に対する理解を深め、自他の人権を大切にする態度や行動力を育むため、学校教育関係者及び保護者等に対する人権教育・啓発事業を推進するとともに、各教科、特別の教科である道徳科、外国語活動、総合的な学習の時間並びに特別活動など、学校教育活動全体を通じた人権教育を推進し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autoSpaceDE w:val="0"/>
        <w:autoSpaceDN w:val="0"/>
        <w:adjustRightInd w:val="0"/>
        <w:jc w:val="left"/>
        <w:rPr>
          <w:rFonts w:hint="default"/>
        </w:rPr>
      </w:pPr>
      <w:r>
        <w:rPr>
          <w:rFonts w:hint="eastAsia" w:ascii="ＭＳ ゴシック" w:hAnsi="ＭＳ ゴシック" w:eastAsia="ＭＳ ゴシック"/>
        </w:rPr>
        <w:t>【数値目標】</w:t>
      </w:r>
    </w:p>
    <w:tbl>
      <w:tblPr>
        <w:tblStyle w:val="11"/>
        <w:tblW w:w="9689"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08"/>
        <w:gridCol w:w="4899"/>
        <w:gridCol w:w="2191"/>
        <w:gridCol w:w="2191"/>
      </w:tblGrid>
      <w:tr>
        <w:trPr>
          <w:trHeight w:val="186" w:hRule="atLeast"/>
        </w:trPr>
        <w:tc>
          <w:tcPr>
            <w:tcW w:w="40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p>
        </w:tc>
        <w:tc>
          <w:tcPr>
            <w:tcW w:w="4899"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指　　　　　　　　標</w:t>
            </w:r>
          </w:p>
        </w:tc>
        <w:tc>
          <w:tcPr>
            <w:tcW w:w="219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center"/>
              <w:rPr>
                <w:rFonts w:hint="default"/>
              </w:rPr>
            </w:pPr>
            <w:r>
              <w:rPr>
                <w:rFonts w:hint="eastAsia"/>
              </w:rPr>
              <w:t>現状値</w:t>
            </w:r>
          </w:p>
        </w:tc>
        <w:tc>
          <w:tcPr>
            <w:tcW w:w="2191" w:type="dxa"/>
            <w:vAlign w:val="center"/>
          </w:tcPr>
          <w:p>
            <w:pPr>
              <w:pStyle w:val="0"/>
              <w:jc w:val="center"/>
              <w:rPr>
                <w:rFonts w:hint="default"/>
              </w:rPr>
            </w:pPr>
            <w:r>
              <w:rPr>
                <w:rFonts w:hint="eastAsia"/>
              </w:rPr>
              <w:t>目標値</w:t>
            </w:r>
          </w:p>
        </w:tc>
      </w:tr>
      <w:tr>
        <w:trPr>
          <w:trHeight w:val="918" w:hRule="atLeast"/>
        </w:trPr>
        <w:tc>
          <w:tcPr>
            <w:tcW w:w="40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1</w:t>
            </w:r>
          </w:p>
        </w:tc>
        <w:tc>
          <w:tcPr>
            <w:tcW w:w="4899"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障害を理由とする差別解消推進県民会議</w:t>
            </w:r>
            <w:r>
              <w:rPr>
                <w:rFonts w:hint="eastAsia"/>
                <w:color w:val="000000" w:themeColor="text1"/>
                <w:spacing w:val="-4"/>
                <w:kern w:val="0"/>
                <w:vertAlign w:val="superscript"/>
              </w:rPr>
              <w:t>＊</w:t>
            </w:r>
            <w:r>
              <w:rPr>
                <w:rFonts w:hint="eastAsia"/>
              </w:rPr>
              <w:t>参画団体数</w:t>
            </w:r>
          </w:p>
        </w:tc>
        <w:tc>
          <w:tcPr>
            <w:tcW w:w="219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2020</w:t>
            </w:r>
            <w:r>
              <w:rPr>
                <w:rFonts w:hint="eastAsia"/>
              </w:rPr>
              <w:t>年度）</w:t>
            </w:r>
          </w:p>
          <w:p>
            <w:pPr>
              <w:pStyle w:val="0"/>
              <w:spacing w:line="360" w:lineRule="exact"/>
              <w:jc w:val="center"/>
              <w:rPr>
                <w:rFonts w:hint="default"/>
              </w:rPr>
            </w:pPr>
            <w:r>
              <w:rPr>
                <w:rFonts w:hint="eastAsia"/>
              </w:rPr>
              <w:t>266</w:t>
            </w:r>
            <w:r>
              <w:rPr>
                <w:rFonts w:hint="eastAsia"/>
              </w:rPr>
              <w:t>団体</w:t>
            </w:r>
          </w:p>
        </w:tc>
        <w:tc>
          <w:tcPr>
            <w:tcW w:w="2191" w:type="dxa"/>
            <w:vAlign w:val="center"/>
          </w:tcPr>
          <w:p>
            <w:pPr>
              <w:pStyle w:val="0"/>
              <w:spacing w:line="360" w:lineRule="exact"/>
              <w:jc w:val="center"/>
              <w:rPr>
                <w:rFonts w:hint="default"/>
              </w:rPr>
            </w:pPr>
            <w:r>
              <w:rPr>
                <w:rFonts w:hint="eastAsia"/>
              </w:rPr>
              <w:t>340</w:t>
            </w:r>
            <w:r>
              <w:rPr>
                <w:rFonts w:hint="eastAsia"/>
              </w:rPr>
              <w:t>団体</w:t>
            </w:r>
          </w:p>
        </w:tc>
      </w:tr>
      <w:tr>
        <w:trPr>
          <w:trHeight w:val="507" w:hRule="atLeast"/>
        </w:trPr>
        <w:tc>
          <w:tcPr>
            <w:tcW w:w="40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2</w:t>
            </w:r>
          </w:p>
        </w:tc>
        <w:tc>
          <w:tcPr>
            <w:tcW w:w="4899"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障害者差別解消支援協議会による助言・あっせん申立て件数</w:t>
            </w:r>
          </w:p>
        </w:tc>
        <w:tc>
          <w:tcPr>
            <w:tcW w:w="219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2020</w:t>
            </w:r>
            <w:r>
              <w:rPr>
                <w:rFonts w:hint="eastAsia"/>
              </w:rPr>
              <w:t>年度）</w:t>
            </w:r>
          </w:p>
          <w:p>
            <w:pPr>
              <w:pStyle w:val="0"/>
              <w:spacing w:line="360" w:lineRule="exact"/>
              <w:jc w:val="center"/>
              <w:rPr>
                <w:rFonts w:hint="default"/>
              </w:rPr>
            </w:pPr>
            <w:r>
              <w:rPr>
                <w:rFonts w:hint="eastAsia"/>
              </w:rPr>
              <w:t>0</w:t>
            </w:r>
            <w:r>
              <w:rPr>
                <w:rFonts w:hint="eastAsia"/>
              </w:rPr>
              <w:t>件</w:t>
            </w:r>
          </w:p>
        </w:tc>
        <w:tc>
          <w:tcPr>
            <w:tcW w:w="2191" w:type="dxa"/>
            <w:vAlign w:val="center"/>
          </w:tcPr>
          <w:p>
            <w:pPr>
              <w:pStyle w:val="0"/>
              <w:spacing w:line="360" w:lineRule="exact"/>
              <w:jc w:val="center"/>
              <w:rPr>
                <w:rFonts w:hint="default"/>
              </w:rPr>
            </w:pPr>
            <w:r>
              <w:rPr>
                <w:rFonts w:hint="eastAsia"/>
              </w:rPr>
              <w:t>毎年度</w:t>
            </w:r>
            <w:r>
              <w:rPr>
                <w:rFonts w:hint="eastAsia"/>
              </w:rPr>
              <w:t>0</w:t>
            </w:r>
            <w:r>
              <w:rPr>
                <w:rFonts w:hint="eastAsia"/>
              </w:rPr>
              <w:t>件</w:t>
            </w:r>
          </w:p>
        </w:tc>
      </w:tr>
      <w:tr>
        <w:trPr>
          <w:trHeight w:val="507" w:hRule="atLeast"/>
        </w:trPr>
        <w:tc>
          <w:tcPr>
            <w:tcW w:w="40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3</w:t>
            </w:r>
          </w:p>
        </w:tc>
        <w:tc>
          <w:tcPr>
            <w:tcW w:w="4899"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ヘルプマーク周知啓発出前講座等開催数</w:t>
            </w:r>
          </w:p>
        </w:tc>
        <w:tc>
          <w:tcPr>
            <w:tcW w:w="219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2020</w:t>
            </w:r>
            <w:r>
              <w:rPr>
                <w:rFonts w:hint="eastAsia"/>
              </w:rPr>
              <w:t>年度）</w:t>
            </w:r>
          </w:p>
          <w:p>
            <w:pPr>
              <w:pStyle w:val="0"/>
              <w:spacing w:line="360" w:lineRule="exact"/>
              <w:jc w:val="center"/>
              <w:rPr>
                <w:rFonts w:hint="default"/>
              </w:rPr>
            </w:pPr>
            <w:r>
              <w:rPr>
                <w:rFonts w:hint="eastAsia"/>
              </w:rPr>
              <w:t>2</w:t>
            </w:r>
            <w:r>
              <w:rPr>
                <w:rFonts w:hint="eastAsia"/>
              </w:rPr>
              <w:t>回</w:t>
            </w:r>
          </w:p>
        </w:tc>
        <w:tc>
          <w:tcPr>
            <w:tcW w:w="2191" w:type="dxa"/>
            <w:vAlign w:val="center"/>
          </w:tcPr>
          <w:p>
            <w:pPr>
              <w:pStyle w:val="0"/>
              <w:spacing w:line="360" w:lineRule="exact"/>
              <w:jc w:val="center"/>
              <w:rPr>
                <w:rFonts w:hint="default"/>
              </w:rPr>
            </w:pPr>
            <w:r>
              <w:rPr>
                <w:rFonts w:hint="eastAsia"/>
              </w:rPr>
              <w:t>毎年度</w:t>
            </w:r>
            <w:r>
              <w:rPr>
                <w:rFonts w:hint="eastAsia"/>
              </w:rPr>
              <w:t>12</w:t>
            </w:r>
            <w:r>
              <w:rPr>
                <w:rFonts w:hint="eastAsia"/>
              </w:rPr>
              <w:t>回</w:t>
            </w:r>
          </w:p>
        </w:tc>
      </w:tr>
      <w:tr>
        <w:trPr>
          <w:trHeight w:val="507" w:hRule="atLeast"/>
        </w:trPr>
        <w:tc>
          <w:tcPr>
            <w:tcW w:w="40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4</w:t>
            </w:r>
          </w:p>
        </w:tc>
        <w:tc>
          <w:tcPr>
            <w:tcW w:w="4899"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声かけサポーター養成数</w:t>
            </w:r>
          </w:p>
        </w:tc>
        <w:tc>
          <w:tcPr>
            <w:tcW w:w="219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2020</w:t>
            </w:r>
            <w:r>
              <w:rPr>
                <w:rFonts w:hint="eastAsia"/>
              </w:rPr>
              <w:t>年度）</w:t>
            </w:r>
          </w:p>
          <w:p>
            <w:pPr>
              <w:pStyle w:val="0"/>
              <w:spacing w:line="360" w:lineRule="exact"/>
              <w:jc w:val="center"/>
              <w:rPr>
                <w:rFonts w:hint="default"/>
              </w:rPr>
            </w:pPr>
            <w:r>
              <w:rPr>
                <w:rFonts w:hint="eastAsia"/>
              </w:rPr>
              <w:t>255</w:t>
            </w:r>
            <w:r>
              <w:rPr>
                <w:rFonts w:hint="eastAsia"/>
              </w:rPr>
              <w:t>人</w:t>
            </w:r>
          </w:p>
        </w:tc>
        <w:tc>
          <w:tcPr>
            <w:tcW w:w="2191" w:type="dxa"/>
            <w:vAlign w:val="center"/>
          </w:tcPr>
          <w:p>
            <w:pPr>
              <w:pStyle w:val="0"/>
              <w:spacing w:line="360" w:lineRule="exact"/>
              <w:jc w:val="center"/>
              <w:rPr>
                <w:rFonts w:hint="default"/>
              </w:rPr>
            </w:pPr>
            <w:r>
              <w:rPr>
                <w:rFonts w:hint="eastAsia"/>
              </w:rPr>
              <w:t>毎年度</w:t>
            </w:r>
            <w:r>
              <w:rPr>
                <w:rFonts w:hint="eastAsia"/>
              </w:rPr>
              <w:t>250</w:t>
            </w:r>
            <w:r>
              <w:rPr>
                <w:rFonts w:hint="eastAsia"/>
              </w:rPr>
              <w:t>人</w:t>
            </w:r>
          </w:p>
        </w:tc>
      </w:tr>
      <w:tr>
        <w:trPr>
          <w:trHeight w:val="1066" w:hRule="atLeast"/>
        </w:trPr>
        <w:tc>
          <w:tcPr>
            <w:tcW w:w="40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5</w:t>
            </w:r>
          </w:p>
        </w:tc>
        <w:tc>
          <w:tcPr>
            <w:tcW w:w="4899"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「人権尊重の意識が生活の中に定着した県」と感じる人の割合</w:t>
            </w:r>
          </w:p>
        </w:tc>
        <w:tc>
          <w:tcPr>
            <w:tcW w:w="219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2021</w:t>
            </w:r>
            <w:r>
              <w:rPr>
                <w:rFonts w:hint="eastAsia"/>
              </w:rPr>
              <w:t>年度）</w:t>
            </w:r>
          </w:p>
          <w:p>
            <w:pPr>
              <w:pStyle w:val="0"/>
              <w:spacing w:line="360" w:lineRule="exact"/>
              <w:jc w:val="center"/>
              <w:rPr>
                <w:rFonts w:hint="default"/>
              </w:rPr>
            </w:pPr>
            <w:r>
              <w:rPr>
                <w:rFonts w:hint="eastAsia"/>
              </w:rPr>
              <w:t>39.5</w:t>
            </w:r>
            <w:r>
              <w:rPr>
                <w:rFonts w:hint="eastAsia"/>
              </w:rPr>
              <w:t>％</w:t>
            </w:r>
          </w:p>
        </w:tc>
        <w:tc>
          <w:tcPr>
            <w:tcW w:w="2191" w:type="dxa"/>
            <w:vAlign w:val="center"/>
          </w:tcPr>
          <w:p>
            <w:pPr>
              <w:pStyle w:val="0"/>
              <w:spacing w:line="360" w:lineRule="exact"/>
              <w:jc w:val="center"/>
              <w:rPr>
                <w:rFonts w:hint="default"/>
              </w:rPr>
            </w:pPr>
            <w:r>
              <w:rPr>
                <w:rFonts w:hint="eastAsia"/>
              </w:rPr>
              <w:t>（</w:t>
            </w:r>
            <w:r>
              <w:rPr>
                <w:rFonts w:hint="eastAsia"/>
              </w:rPr>
              <w:t>2025</w:t>
            </w:r>
            <w:r>
              <w:rPr>
                <w:rFonts w:hint="eastAsia"/>
              </w:rPr>
              <w:t>年度）</w:t>
            </w:r>
          </w:p>
          <w:p>
            <w:pPr>
              <w:pStyle w:val="0"/>
              <w:spacing w:line="360" w:lineRule="exact"/>
              <w:jc w:val="center"/>
              <w:rPr>
                <w:rFonts w:hint="default"/>
              </w:rPr>
            </w:pPr>
            <w:r>
              <w:rPr>
                <w:rFonts w:hint="eastAsia"/>
              </w:rPr>
              <w:t>50</w:t>
            </w:r>
            <w:r>
              <w:rPr>
                <w:rFonts w:hint="eastAsia"/>
              </w:rPr>
              <w:t>％以上</w:t>
            </w:r>
          </w:p>
        </w:tc>
      </w:tr>
      <w:tr>
        <w:trPr>
          <w:trHeight w:val="507" w:hRule="atLeast"/>
        </w:trPr>
        <w:tc>
          <w:tcPr>
            <w:tcW w:w="40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6</w:t>
            </w:r>
          </w:p>
        </w:tc>
        <w:tc>
          <w:tcPr>
            <w:tcW w:w="4899"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人権啓発講座等参加者数</w:t>
            </w:r>
          </w:p>
        </w:tc>
        <w:tc>
          <w:tcPr>
            <w:tcW w:w="219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2020</w:t>
            </w:r>
            <w:r>
              <w:rPr>
                <w:rFonts w:hint="eastAsia"/>
              </w:rPr>
              <w:t>年度）</w:t>
            </w:r>
          </w:p>
          <w:p>
            <w:pPr>
              <w:pStyle w:val="0"/>
              <w:spacing w:line="360" w:lineRule="exact"/>
              <w:jc w:val="center"/>
              <w:rPr>
                <w:rFonts w:hint="default"/>
              </w:rPr>
            </w:pPr>
            <w:r>
              <w:rPr>
                <w:rFonts w:hint="eastAsia"/>
              </w:rPr>
              <w:t>18,940</w:t>
            </w:r>
            <w:r>
              <w:rPr>
                <w:rFonts w:hint="eastAsia"/>
              </w:rPr>
              <w:t>人</w:t>
            </w:r>
          </w:p>
          <w:p>
            <w:pPr>
              <w:pStyle w:val="0"/>
              <w:spacing w:line="280" w:lineRule="exact"/>
              <w:jc w:val="center"/>
              <w:rPr>
                <w:rFonts w:hint="default"/>
              </w:rPr>
            </w:pPr>
            <w:r>
              <w:rPr>
                <w:rFonts w:hint="eastAsia"/>
                <w:sz w:val="20"/>
              </w:rPr>
              <w:t>※コロナ影響により参加者数減少</w:t>
            </w:r>
          </w:p>
        </w:tc>
        <w:tc>
          <w:tcPr>
            <w:tcW w:w="2191" w:type="dxa"/>
            <w:vAlign w:val="center"/>
          </w:tcPr>
          <w:p>
            <w:pPr>
              <w:pStyle w:val="0"/>
              <w:spacing w:line="360" w:lineRule="exact"/>
              <w:jc w:val="center"/>
              <w:rPr>
                <w:rFonts w:hint="default"/>
              </w:rPr>
            </w:pPr>
            <w:r>
              <w:rPr>
                <w:rFonts w:hint="eastAsia"/>
              </w:rPr>
              <w:t>毎年度</w:t>
            </w:r>
            <w:r>
              <w:rPr>
                <w:rFonts w:hint="eastAsia"/>
              </w:rPr>
              <w:t>3</w:t>
            </w:r>
            <w:r>
              <w:rPr>
                <w:rFonts w:hint="eastAsia"/>
              </w:rPr>
              <w:t>万人</w:t>
            </w:r>
          </w:p>
        </w:tc>
      </w:tr>
    </w:tbl>
    <w:p>
      <w:pPr>
        <w:pStyle w:val="0"/>
        <w:rPr>
          <w:rFonts w:hint="default" w:ascii="ＭＳ ゴシック" w:hAnsi="ＭＳ ゴシック" w:eastAsia="ＭＳ ゴシック"/>
        </w:rPr>
      </w:pPr>
    </w:p>
    <w:p>
      <w:pPr>
        <w:pStyle w:val="0"/>
        <w:outlineLvl w:val="2"/>
        <w:rPr>
          <w:rFonts w:hint="default" w:ascii="ＭＳ ゴシック" w:hAnsi="ＭＳ ゴシック" w:eastAsia="ＭＳ ゴシック"/>
        </w:rPr>
      </w:pPr>
      <w:r>
        <w:rPr>
          <w:rFonts w:hint="eastAsia" w:ascii="ＭＳ ゴシック" w:hAnsi="ＭＳ ゴシック" w:eastAsia="ＭＳ ゴシック"/>
        </w:rPr>
        <w:t>（２）権利擁護の推進</w:t>
      </w:r>
    </w:p>
    <w:p>
      <w:pPr>
        <w:pStyle w:val="0"/>
        <w:rPr>
          <w:rFonts w:hint="default" w:ascii="ＭＳ ゴシック" w:hAnsi="ＭＳ ゴシック" w:eastAsia="ＭＳ ゴシック"/>
        </w:rPr>
      </w:pPr>
      <w:r>
        <w:rPr>
          <w:rFonts w:hint="eastAsia" w:ascii="ＭＳ ゴシック" w:hAnsi="ＭＳ ゴシック" w:eastAsia="ＭＳ ゴシック"/>
        </w:rPr>
        <w:t>【現状と課題】</w:t>
      </w:r>
    </w:p>
    <w:p>
      <w:pPr>
        <w:pStyle w:val="0"/>
        <w:numPr>
          <w:ilvl w:val="0"/>
          <w:numId w:val="8"/>
        </w:numPr>
        <w:autoSpaceDE w:val="0"/>
        <w:autoSpaceDN w:val="0"/>
        <w:adjustRightInd w:val="0"/>
        <w:spacing w:line="360" w:lineRule="exact"/>
        <w:jc w:val="left"/>
        <w:rPr>
          <w:rFonts w:hint="default"/>
        </w:rPr>
      </w:pPr>
      <w:r>
        <w:rPr>
          <w:rFonts w:hint="eastAsia"/>
          <w:kern w:val="0"/>
        </w:rPr>
        <w:t>障害者権利条約の目的である、障害者の人権及び基本的自由の享有を確保し、障害者の固有の尊厳の尊重を促進するため、障害のある人に対する権利利益の侵害等の対策を更に推進していくことが求められています。</w:t>
      </w:r>
    </w:p>
    <w:p>
      <w:pPr>
        <w:pStyle w:val="0"/>
        <w:autoSpaceDE w:val="0"/>
        <w:autoSpaceDN w:val="0"/>
        <w:adjustRightInd w:val="0"/>
        <w:spacing w:line="360" w:lineRule="exact"/>
        <w:ind w:left="576"/>
        <w:jc w:val="left"/>
        <w:rPr>
          <w:rFonts w:hint="default"/>
        </w:rPr>
      </w:pPr>
    </w:p>
    <w:p>
      <w:pPr>
        <w:pStyle w:val="0"/>
        <w:numPr>
          <w:ilvl w:val="0"/>
          <w:numId w:val="8"/>
        </w:numPr>
        <w:autoSpaceDE w:val="0"/>
        <w:autoSpaceDN w:val="0"/>
        <w:adjustRightInd w:val="0"/>
        <w:spacing w:line="360" w:lineRule="exact"/>
        <w:jc w:val="left"/>
        <w:rPr>
          <w:rFonts w:hint="default"/>
        </w:rPr>
      </w:pPr>
      <w:r>
        <w:rPr>
          <w:rFonts w:hint="eastAsia"/>
          <w:kern w:val="0"/>
        </w:rPr>
        <w:t>障害のある人の中には、十分な自己決定や意思表示が困難な人もおり、結果として人権や財産に対して不利益を受ける恐れがあるため、支援体制などの充実が求められています。</w:t>
      </w:r>
    </w:p>
    <w:p>
      <w:pPr>
        <w:pStyle w:val="0"/>
        <w:autoSpaceDE w:val="0"/>
        <w:autoSpaceDN w:val="0"/>
        <w:adjustRightInd w:val="0"/>
        <w:spacing w:line="360" w:lineRule="exact"/>
        <w:ind w:left="576"/>
        <w:jc w:val="left"/>
        <w:rPr>
          <w:rFonts w:hint="default"/>
        </w:rPr>
      </w:pPr>
    </w:p>
    <w:p>
      <w:pPr>
        <w:pStyle w:val="0"/>
        <w:numPr>
          <w:ilvl w:val="0"/>
          <w:numId w:val="8"/>
        </w:numPr>
        <w:autoSpaceDE w:val="0"/>
        <w:autoSpaceDN w:val="0"/>
        <w:adjustRightInd w:val="0"/>
        <w:spacing w:line="360" w:lineRule="exact"/>
        <w:jc w:val="left"/>
        <w:rPr>
          <w:rFonts w:hint="default"/>
        </w:rPr>
      </w:pPr>
      <w:r>
        <w:rPr>
          <w:rFonts w:hint="eastAsia"/>
          <w:kern w:val="0"/>
        </w:rPr>
        <w:t>障害のある人が自己の判断能力が十分でないために、様々なサービスを適切に利用できない場合等にも、その権利を擁護していく必要があります。</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【県の取組】</w:t>
      </w:r>
      <w:r>
        <w:rPr>
          <w:rFonts w:hint="eastAsia" w:ascii="ＭＳ ゴシック" w:hAnsi="ＭＳ ゴシック" w:eastAsia="ＭＳ ゴシック"/>
        </w:rPr>
        <w:tab/>
      </w:r>
    </w:p>
    <w:p>
      <w:pPr>
        <w:pStyle w:val="0"/>
        <w:numPr>
          <w:ilvl w:val="0"/>
          <w:numId w:val="9"/>
        </w:numPr>
        <w:autoSpaceDE w:val="0"/>
        <w:autoSpaceDN w:val="0"/>
        <w:adjustRightInd w:val="0"/>
        <w:spacing w:line="360" w:lineRule="exact"/>
        <w:jc w:val="left"/>
        <w:rPr>
          <w:rFonts w:hint="default"/>
        </w:rPr>
      </w:pPr>
      <w:r>
        <w:rPr>
          <w:rFonts w:hint="eastAsia"/>
          <w:kern w:val="0"/>
        </w:rPr>
        <w:t>判断能力が十分ではない人の権利を擁護するため、成年後見制度</w:t>
      </w:r>
      <w:r>
        <w:rPr>
          <w:rFonts w:hint="eastAsia"/>
          <w:spacing w:val="-4"/>
          <w:kern w:val="0"/>
          <w:vertAlign w:val="superscript"/>
        </w:rPr>
        <w:t>＊</w:t>
      </w:r>
      <w:r>
        <w:rPr>
          <w:rFonts w:hint="eastAsia"/>
          <w:kern w:val="0"/>
        </w:rPr>
        <w:t>の利用促進に向けて市町の地域連携ネットワークの構築やその中核となる機関の整備などの取組を支援します。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9"/>
        </w:numPr>
        <w:autoSpaceDE w:val="0"/>
        <w:autoSpaceDN w:val="0"/>
        <w:adjustRightInd w:val="0"/>
        <w:spacing w:line="360" w:lineRule="exact"/>
        <w:jc w:val="left"/>
        <w:rPr>
          <w:rFonts w:hint="default"/>
        </w:rPr>
      </w:pPr>
      <w:r>
        <w:rPr>
          <w:rFonts w:hint="eastAsia"/>
          <w:kern w:val="0"/>
        </w:rPr>
        <w:t>障害のある人が地域で安心して自立した生活を送れるようにするため、県社会福祉協議会と連携し福祉サービスの利用援助や日常の金銭管理などを行う日常生活自立支援事業</w:t>
      </w:r>
      <w:r>
        <w:rPr>
          <w:rFonts w:hint="eastAsia"/>
          <w:spacing w:val="-4"/>
          <w:kern w:val="0"/>
          <w:vertAlign w:val="superscript"/>
        </w:rPr>
        <w:t>＊</w:t>
      </w:r>
      <w:r>
        <w:rPr>
          <w:rFonts w:hint="eastAsia"/>
          <w:kern w:val="0"/>
        </w:rPr>
        <w:t>を推進します。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9"/>
        </w:numPr>
        <w:autoSpaceDE w:val="0"/>
        <w:autoSpaceDN w:val="0"/>
        <w:adjustRightInd w:val="0"/>
        <w:spacing w:line="360" w:lineRule="exact"/>
        <w:jc w:val="left"/>
        <w:rPr>
          <w:rFonts w:hint="default"/>
        </w:rPr>
      </w:pPr>
      <w:r>
        <w:rPr>
          <w:rFonts w:hint="eastAsia"/>
          <w:kern w:val="0"/>
        </w:rPr>
        <w:t>利用者の立場に立った質の高い福祉サービスの提供に向け、運営適正化委員会</w:t>
      </w:r>
      <w:r>
        <w:rPr>
          <w:rFonts w:hint="eastAsia"/>
          <w:kern w:val="0"/>
          <w:vertAlign w:val="superscript"/>
        </w:rPr>
        <w:t>＊</w:t>
      </w:r>
      <w:r>
        <w:rPr>
          <w:rFonts w:hint="eastAsia"/>
          <w:kern w:val="0"/>
        </w:rPr>
        <w:t>による日常生活自立支援事業</w:t>
      </w:r>
      <w:r>
        <w:rPr>
          <w:rFonts w:hint="eastAsia"/>
          <w:spacing w:val="-4"/>
          <w:kern w:val="0"/>
          <w:vertAlign w:val="superscript"/>
        </w:rPr>
        <w:t>＊</w:t>
      </w:r>
      <w:r>
        <w:rPr>
          <w:rFonts w:hint="eastAsia"/>
          <w:kern w:val="0"/>
        </w:rPr>
        <w:t>の適正な運営の確保や的確・迅速な苦情解決を促進します。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9"/>
        </w:numPr>
        <w:autoSpaceDE w:val="0"/>
        <w:autoSpaceDN w:val="0"/>
        <w:adjustRightInd w:val="0"/>
        <w:spacing w:line="360" w:lineRule="exact"/>
        <w:jc w:val="left"/>
        <w:rPr>
          <w:rFonts w:hint="default"/>
        </w:rPr>
      </w:pPr>
      <w:r>
        <w:rPr>
          <w:rFonts w:hint="eastAsia"/>
          <w:kern w:val="0"/>
        </w:rPr>
        <w:t>利用者の支援や権利擁護等の取組が、指定基準等に基づいて適切に行われるよう、障害福祉サービス事業所及び障害者支援施設等に対して実地指導等を実施します。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9"/>
        </w:numPr>
        <w:autoSpaceDE w:val="0"/>
        <w:autoSpaceDN w:val="0"/>
        <w:adjustRightInd w:val="0"/>
        <w:spacing w:line="360" w:lineRule="exact"/>
        <w:jc w:val="left"/>
        <w:rPr>
          <w:rFonts w:hint="default"/>
        </w:rPr>
      </w:pPr>
      <w:r>
        <w:rPr>
          <w:rFonts w:hint="eastAsia"/>
          <w:kern w:val="0"/>
        </w:rPr>
        <w:t>障害のある人をめぐる人権問題の解決のため、人権啓発センター</w:t>
      </w:r>
      <w:r>
        <w:rPr>
          <w:rFonts w:hint="eastAsia"/>
          <w:spacing w:val="-4"/>
          <w:kern w:val="0"/>
          <w:vertAlign w:val="superscript"/>
        </w:rPr>
        <w:t>＊</w:t>
      </w:r>
      <w:r>
        <w:rPr>
          <w:rFonts w:hint="eastAsia"/>
          <w:kern w:val="0"/>
        </w:rPr>
        <w:t>による人権相談等を実施します。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9"/>
        </w:numPr>
        <w:autoSpaceDE w:val="0"/>
        <w:autoSpaceDN w:val="0"/>
        <w:adjustRightInd w:val="0"/>
        <w:spacing w:line="360" w:lineRule="exact"/>
        <w:jc w:val="left"/>
        <w:rPr>
          <w:rFonts w:hint="default"/>
        </w:rPr>
      </w:pPr>
      <w:r>
        <w:rPr>
          <w:rFonts w:hint="eastAsia"/>
          <w:kern w:val="0"/>
        </w:rPr>
        <w:t>利用者保護のため、障害福祉サービス事業所等における苦情解決体制を整備します。</w:t>
      </w:r>
      <w:bookmarkStart w:id="86" w:name="_Toc503474041"/>
      <w:bookmarkEnd w:id="86"/>
    </w:p>
    <w:p>
      <w:pPr>
        <w:pStyle w:val="0"/>
        <w:outlineLvl w:val="2"/>
        <w:rPr>
          <w:rFonts w:hint="default" w:ascii="ＭＳ ゴシック" w:hAnsi="ＭＳ ゴシック" w:eastAsia="ＭＳ ゴシック"/>
        </w:rPr>
      </w:pPr>
      <w:r>
        <w:rPr>
          <w:rFonts w:hint="eastAsia" w:ascii="ＭＳ ゴシック" w:hAnsi="ＭＳ ゴシック" w:eastAsia="ＭＳ ゴシック"/>
        </w:rPr>
        <w:t>（３）虐待防止対策の推進</w:t>
      </w:r>
    </w:p>
    <w:p>
      <w:pPr>
        <w:pStyle w:val="0"/>
        <w:rPr>
          <w:rFonts w:hint="default" w:ascii="ＭＳ ゴシック" w:hAnsi="ＭＳ ゴシック" w:eastAsia="ＭＳ ゴシック"/>
        </w:rPr>
      </w:pPr>
      <w:r>
        <w:rPr>
          <w:rFonts w:hint="eastAsia" w:ascii="ＭＳ ゴシック" w:hAnsi="ＭＳ ゴシック" w:eastAsia="ＭＳ ゴシック"/>
        </w:rPr>
        <w:t>【現状と課題】</w:t>
      </w:r>
    </w:p>
    <w:p>
      <w:pPr>
        <w:pStyle w:val="0"/>
        <w:numPr>
          <w:ilvl w:val="0"/>
          <w:numId w:val="10"/>
        </w:numPr>
        <w:autoSpaceDE w:val="0"/>
        <w:autoSpaceDN w:val="0"/>
        <w:adjustRightInd w:val="0"/>
        <w:spacing w:line="360" w:lineRule="exact"/>
        <w:jc w:val="left"/>
        <w:rPr>
          <w:rFonts w:hint="default"/>
        </w:rPr>
      </w:pPr>
      <w:r>
        <w:rPr>
          <w:rFonts w:hint="eastAsia"/>
        </w:rPr>
        <w:t>「障害のある方の実態調査」（</w:t>
      </w:r>
      <w:r>
        <w:rPr>
          <w:rFonts w:hint="eastAsia"/>
        </w:rPr>
        <w:t>2020</w:t>
      </w:r>
      <w:r>
        <w:rPr>
          <w:rFonts w:hint="eastAsia"/>
        </w:rPr>
        <w:t>年度）によると、生活をしている中で、差別や虐待を受けたことが「ある」という回答が</w:t>
      </w:r>
      <w:r>
        <w:rPr>
          <w:rFonts w:hint="eastAsia"/>
        </w:rPr>
        <w:t>17.3</w:t>
      </w:r>
      <w:r>
        <w:rPr>
          <w:rFonts w:hint="eastAsia"/>
        </w:rPr>
        <w:t>％でした。「何人も、障害者に対し、虐待をしてはならない」という障害者虐待の防止、障害者の養護者に対する支援等に関する法律（以下「障害者虐待防止法」という。）の趣旨の下、障害者虐待の未然防止や早期発見、迅速な対応、その後の適切な支援を行うため、障害福祉サービス事業所をはじめとする、地域における関係機関等の協力体制の整備や支援体制の強化を図る必要があります。</w:t>
      </w:r>
    </w:p>
    <w:p>
      <w:pPr>
        <w:pStyle w:val="0"/>
        <w:autoSpaceDE w:val="0"/>
        <w:autoSpaceDN w:val="0"/>
        <w:adjustRightInd w:val="0"/>
        <w:spacing w:line="360" w:lineRule="exact"/>
        <w:ind w:left="576"/>
        <w:jc w:val="left"/>
        <w:rPr>
          <w:rFonts w:hint="default"/>
        </w:rPr>
      </w:pPr>
    </w:p>
    <w:p>
      <w:pPr>
        <w:pStyle w:val="0"/>
        <w:numPr>
          <w:ilvl w:val="0"/>
          <w:numId w:val="10"/>
        </w:numPr>
        <w:autoSpaceDE w:val="0"/>
        <w:autoSpaceDN w:val="0"/>
        <w:adjustRightInd w:val="0"/>
        <w:spacing w:line="360" w:lineRule="exact"/>
        <w:jc w:val="left"/>
        <w:rPr>
          <w:rFonts w:hint="default"/>
        </w:rPr>
      </w:pPr>
      <w:r>
        <w:rPr>
          <w:rFonts w:hint="eastAsia"/>
          <w:kern w:val="0"/>
        </w:rPr>
        <w:t>障害のある人やその家族、障害福祉サービス事業者や障害のある人を雇用している使用者に対し、障害者虐待防止法の理解を深めるための取組が必要です。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numPr>
          <w:ilvl w:val="0"/>
          <w:numId w:val="11"/>
        </w:numPr>
        <w:autoSpaceDE w:val="0"/>
        <w:autoSpaceDN w:val="0"/>
        <w:adjustRightInd w:val="0"/>
        <w:spacing w:line="360" w:lineRule="exact"/>
        <w:jc w:val="left"/>
        <w:rPr>
          <w:rFonts w:hint="default"/>
          <w:spacing w:val="-4"/>
          <w:kern w:val="0"/>
          <w:sz w:val="16"/>
        </w:rPr>
      </w:pPr>
      <w:r>
        <w:rPr>
          <w:rFonts w:hint="eastAsia"/>
          <w:kern w:val="0"/>
        </w:rPr>
        <w:t>県障害者虐待防止支援センター</w:t>
      </w:r>
      <w:r>
        <w:rPr>
          <w:rFonts w:hint="eastAsia"/>
          <w:spacing w:val="-4"/>
          <w:kern w:val="0"/>
          <w:vertAlign w:val="superscript"/>
        </w:rPr>
        <w:t>＊</w:t>
      </w:r>
      <w:r>
        <w:rPr>
          <w:rFonts w:hint="eastAsia"/>
          <w:kern w:val="0"/>
        </w:rPr>
        <w:t>を拠点として、障害者虐待の防止や通報義務等について、障害のある人やその家族、事業者等へ広報・啓発を行うとともに、権利擁護等の支援を担う市町障害者虐待防止センターの活動を支援します。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sz w:val="16"/>
        </w:rPr>
      </w:pPr>
    </w:p>
    <w:p>
      <w:pPr>
        <w:pStyle w:val="0"/>
        <w:numPr>
          <w:ilvl w:val="0"/>
          <w:numId w:val="11"/>
        </w:numPr>
        <w:autoSpaceDE w:val="0"/>
        <w:autoSpaceDN w:val="0"/>
        <w:adjustRightInd w:val="0"/>
        <w:spacing w:line="360" w:lineRule="exact"/>
        <w:jc w:val="left"/>
        <w:rPr>
          <w:rFonts w:hint="default"/>
        </w:rPr>
      </w:pPr>
      <w:r>
        <w:rPr>
          <w:rFonts w:hint="eastAsia"/>
          <w:kern w:val="0"/>
        </w:rPr>
        <w:t>障害者虐待の未然防止を図るため、相談窓口となる市町職員や相談支援事業者、障害福祉サービス事業者等に対して研修を実施します。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11"/>
        </w:numPr>
        <w:autoSpaceDE w:val="0"/>
        <w:autoSpaceDN w:val="0"/>
        <w:adjustRightInd w:val="0"/>
        <w:spacing w:line="360" w:lineRule="exact"/>
        <w:jc w:val="left"/>
        <w:rPr>
          <w:rFonts w:hint="default"/>
        </w:rPr>
      </w:pPr>
      <w:r>
        <w:rPr>
          <w:rFonts w:hint="eastAsia"/>
          <w:spacing w:val="-4"/>
          <w:kern w:val="0"/>
        </w:rPr>
        <w:t>養護者による障害者虐待のうち、権利擁護など対応が難しいケースに関して、弁護士、社会福祉士による専門職チームを派遣し、市町の活動を支援します。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11"/>
        </w:numPr>
        <w:autoSpaceDE w:val="0"/>
        <w:autoSpaceDN w:val="0"/>
        <w:adjustRightInd w:val="0"/>
        <w:spacing w:line="360" w:lineRule="exact"/>
        <w:jc w:val="left"/>
        <w:rPr>
          <w:rFonts w:hint="default"/>
        </w:rPr>
      </w:pPr>
      <w:r>
        <w:rPr>
          <w:rFonts w:hint="eastAsia"/>
          <w:kern w:val="0"/>
        </w:rPr>
        <w:t>障害者虐待のおそれが認められる事案において、市町障害者虐待防止センターから警察に立入調査に関する援助要請があった場合には、個々の事案に応じて市町の活動を支援します。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z w:val="16"/>
        </w:rPr>
        <w:t>警察本部</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11"/>
        </w:numPr>
        <w:autoSpaceDE w:val="0"/>
        <w:autoSpaceDN w:val="0"/>
        <w:adjustRightInd w:val="0"/>
        <w:spacing w:line="360" w:lineRule="exact"/>
        <w:jc w:val="left"/>
        <w:rPr>
          <w:rFonts w:hint="default"/>
        </w:rPr>
      </w:pPr>
      <w:r>
        <w:rPr>
          <w:rFonts w:hint="eastAsia"/>
          <w:spacing w:val="-4"/>
          <w:kern w:val="0"/>
        </w:rPr>
        <w:t>精神科病院における患者の療養環境の向上を図るとともに、入院患者の人権に配慮した適切な医療を確保するため、入院の必要性や入院患者の処遇に重点をおいた指導・審査を実施します。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11"/>
        </w:numPr>
        <w:autoSpaceDE w:val="0"/>
        <w:autoSpaceDN w:val="0"/>
        <w:adjustRightInd w:val="0"/>
        <w:spacing w:line="360" w:lineRule="exact"/>
        <w:jc w:val="left"/>
        <w:rPr>
          <w:rFonts w:hint="default"/>
        </w:rPr>
      </w:pPr>
      <w:r>
        <w:rPr>
          <w:rFonts w:hint="eastAsia"/>
          <w:kern w:val="0"/>
        </w:rPr>
        <w:t>障害福祉サービス事業所等における障害者虐待の通報があった場合には、市町と連携し、立入調査等の権限を適切に行使します。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11"/>
        </w:numPr>
        <w:autoSpaceDE w:val="0"/>
        <w:autoSpaceDN w:val="0"/>
        <w:adjustRightInd w:val="0"/>
        <w:spacing w:line="360" w:lineRule="exact"/>
        <w:jc w:val="left"/>
        <w:rPr>
          <w:rFonts w:hint="default"/>
        </w:rPr>
      </w:pPr>
      <w:r>
        <w:rPr>
          <w:rFonts w:hint="eastAsia"/>
          <w:kern w:val="0"/>
        </w:rPr>
        <w:t>精神科病院に入院中の者に対し、虐待による人権侵害がないよう、事務指導監査時に研修実施の確認等を行います。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autoSpaceDE w:val="0"/>
        <w:autoSpaceDN w:val="0"/>
        <w:adjustRightInd w:val="0"/>
        <w:spacing w:line="360" w:lineRule="exact"/>
        <w:ind w:left="576"/>
        <w:jc w:val="left"/>
        <w:rPr>
          <w:rFonts w:hint="default"/>
        </w:rPr>
      </w:pPr>
    </w:p>
    <w:p>
      <w:pPr>
        <w:pStyle w:val="0"/>
        <w:ind w:left="480" w:hanging="480" w:hangingChars="200"/>
        <w:rPr>
          <w:rFonts w:hint="default"/>
          <w:spacing w:val="-4"/>
          <w:kern w:val="0"/>
        </w:rPr>
      </w:pPr>
      <w:r>
        <w:rPr>
          <w:rFonts w:hint="eastAsia" w:ascii="ＭＳ ゴシック" w:hAnsi="ＭＳ ゴシック" w:eastAsia="ＭＳ ゴシック"/>
        </w:rPr>
        <w:t>【数値目標】</w:t>
      </w:r>
    </w:p>
    <w:tbl>
      <w:tblPr>
        <w:tblStyle w:val="11"/>
        <w:tblW w:w="4947" w:type="pct"/>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4"/>
        <w:gridCol w:w="4858"/>
        <w:gridCol w:w="2183"/>
        <w:gridCol w:w="2183"/>
      </w:tblGrid>
      <w:tr>
        <w:trPr>
          <w:trHeight w:val="204"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337"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障害者虐待防止・権利擁護研修参加者数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2017</w:t>
            </w:r>
            <w:r>
              <w:rPr>
                <w:rFonts w:hint="eastAsia"/>
              </w:rPr>
              <w:t>年度）</w:t>
            </w:r>
          </w:p>
          <w:p>
            <w:pPr>
              <w:pStyle w:val="0"/>
              <w:spacing w:line="360" w:lineRule="exact"/>
              <w:jc w:val="center"/>
              <w:rPr>
                <w:rFonts w:hint="default"/>
              </w:rPr>
            </w:pPr>
            <w:r>
              <w:rPr>
                <w:rFonts w:hint="eastAsia"/>
              </w:rPr>
              <w:t>226</w:t>
            </w:r>
            <w:r>
              <w:rPr>
                <w:rFonts w:hint="eastAsia"/>
              </w:rPr>
              <w:t>人</w:t>
            </w:r>
          </w:p>
        </w:tc>
        <w:tc>
          <w:tcPr>
            <w:tcW w:w="2189" w:type="dxa"/>
            <w:vAlign w:val="center"/>
          </w:tcPr>
          <w:p>
            <w:pPr>
              <w:pStyle w:val="0"/>
              <w:spacing w:line="360" w:lineRule="exact"/>
              <w:jc w:val="center"/>
              <w:rPr>
                <w:rFonts w:hint="default"/>
              </w:rPr>
            </w:pPr>
            <w:r>
              <w:rPr>
                <w:rFonts w:hint="eastAsia"/>
              </w:rPr>
              <w:t>（</w:t>
            </w:r>
            <w:r>
              <w:rPr>
                <w:rFonts w:hint="eastAsia"/>
              </w:rPr>
              <w:t>2017</w:t>
            </w:r>
            <w:r>
              <w:rPr>
                <w:rFonts w:hint="eastAsia"/>
              </w:rPr>
              <w:t>～</w:t>
            </w:r>
            <w:r>
              <w:rPr>
                <w:rFonts w:hint="eastAsia"/>
              </w:rPr>
              <w:t>22</w:t>
            </w:r>
            <w:r>
              <w:rPr>
                <w:rFonts w:hint="eastAsia"/>
              </w:rPr>
              <w:t>年度）</w:t>
            </w:r>
          </w:p>
          <w:p>
            <w:pPr>
              <w:pStyle w:val="0"/>
              <w:spacing w:line="360" w:lineRule="exact"/>
              <w:jc w:val="center"/>
              <w:rPr>
                <w:rFonts w:hint="default"/>
              </w:rPr>
            </w:pPr>
            <w:r>
              <w:rPr>
                <w:rFonts w:hint="eastAsia"/>
              </w:rPr>
              <w:t>累計</w:t>
            </w:r>
            <w:r>
              <w:rPr>
                <w:rFonts w:hint="eastAsia"/>
              </w:rPr>
              <w:t>1,300</w:t>
            </w:r>
            <w:r>
              <w:rPr>
                <w:rFonts w:hint="eastAsia"/>
              </w:rPr>
              <w:t>人</w:t>
            </w:r>
          </w:p>
        </w:tc>
      </w:tr>
    </w:tbl>
    <w:p>
      <w:pPr>
        <w:pStyle w:val="0"/>
        <w:rPr>
          <w:rFonts w:hint="default" w:ascii="ＭＳ ゴシック" w:hAnsi="ＭＳ ゴシック" w:eastAsia="ＭＳ ゴシック"/>
        </w:rPr>
      </w:pPr>
      <w:bookmarkStart w:id="87" w:name="_Toc503474042"/>
    </w:p>
    <w:p>
      <w:pPr>
        <w:pStyle w:val="0"/>
        <w:outlineLvl w:val="2"/>
        <w:rPr>
          <w:rFonts w:hint="default" w:ascii="ＭＳ ゴシック" w:hAnsi="ＭＳ ゴシック" w:eastAsia="ＭＳ ゴシック"/>
          <w:dstrike w:val="1"/>
        </w:rPr>
      </w:pPr>
      <w:bookmarkEnd w:id="87"/>
      <w:bookmarkStart w:id="88" w:name="_Toc503474043"/>
      <w:bookmarkEnd w:id="88"/>
      <w:r>
        <w:rPr>
          <w:rFonts w:hint="eastAsia" w:ascii="ＭＳ ゴシック" w:hAnsi="ＭＳ ゴシック" w:eastAsia="ＭＳ ゴシック"/>
        </w:rPr>
        <w:t>（４）福祉教育・地域交流の推進</w:t>
      </w:r>
    </w:p>
    <w:p>
      <w:pPr>
        <w:pStyle w:val="0"/>
        <w:rPr>
          <w:rFonts w:hint="default"/>
        </w:rPr>
      </w:pPr>
      <w:r>
        <w:rPr>
          <w:rFonts w:hint="eastAsia" w:ascii="ＭＳ ゴシック" w:hAnsi="ＭＳ ゴシック" w:eastAsia="ＭＳ ゴシック"/>
        </w:rPr>
        <w:t>【現状と課題】</w:t>
      </w:r>
    </w:p>
    <w:p>
      <w:pPr>
        <w:pStyle w:val="0"/>
        <w:numPr>
          <w:ilvl w:val="0"/>
          <w:numId w:val="10"/>
        </w:numPr>
        <w:autoSpaceDE w:val="0"/>
        <w:autoSpaceDN w:val="0"/>
        <w:adjustRightInd w:val="0"/>
        <w:spacing w:line="360" w:lineRule="exact"/>
        <w:jc w:val="left"/>
        <w:rPr>
          <w:rFonts w:hint="default"/>
        </w:rPr>
      </w:pPr>
      <w:r>
        <w:rPr>
          <w:rFonts w:hint="eastAsia"/>
          <w:kern w:val="0"/>
        </w:rPr>
        <w:t>地域コミュニティの機能の低下や家庭環境の変化が進み、子どもたちが地域や家庭で障害のある人や高齢者と接する機会が減少しています。子どもたちが、地域での介護・福祉体験やボランティア活動を通じ、障害のある人や高齢者に対する理解を深めることにより、人権を尊重し、相手のことを思いやる気持ちを持つ心豊かな人づくりを進めていくことが必要です。</w:t>
      </w:r>
    </w:p>
    <w:p>
      <w:pPr>
        <w:pStyle w:val="0"/>
        <w:autoSpaceDE w:val="0"/>
        <w:autoSpaceDN w:val="0"/>
        <w:adjustRightInd w:val="0"/>
        <w:spacing w:line="360" w:lineRule="exact"/>
        <w:ind w:left="576"/>
        <w:jc w:val="left"/>
        <w:rPr>
          <w:rFonts w:hint="default"/>
        </w:rPr>
      </w:pPr>
    </w:p>
    <w:p>
      <w:pPr>
        <w:pStyle w:val="0"/>
        <w:numPr>
          <w:ilvl w:val="0"/>
          <w:numId w:val="10"/>
        </w:numPr>
        <w:autoSpaceDE w:val="0"/>
        <w:autoSpaceDN w:val="0"/>
        <w:adjustRightInd w:val="0"/>
        <w:spacing w:line="360" w:lineRule="exact"/>
        <w:jc w:val="left"/>
        <w:rPr>
          <w:rFonts w:hint="default"/>
        </w:rPr>
      </w:pPr>
      <w:r>
        <w:rPr>
          <w:rFonts w:hint="eastAsia"/>
          <w:kern w:val="0"/>
        </w:rPr>
        <w:t>障害に対する理解を深めるためには、障害のある人と関わりを持ち、その人の障害特性だけでなく人となりを知ることが重要です。コロナ禍においては地域行事や障害者支援施設での行事も自粛されており、障害のある人との接する機会が減少していま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numPr>
          <w:ilvl w:val="0"/>
          <w:numId w:val="12"/>
        </w:numPr>
        <w:autoSpaceDE w:val="0"/>
        <w:autoSpaceDN w:val="0"/>
        <w:adjustRightInd w:val="0"/>
        <w:spacing w:line="360" w:lineRule="exact"/>
        <w:jc w:val="left"/>
        <w:rPr>
          <w:rFonts w:hint="default"/>
        </w:rPr>
      </w:pPr>
      <w:r>
        <w:rPr>
          <w:rFonts w:hint="eastAsia"/>
          <w:kern w:val="0"/>
        </w:rPr>
        <w:t>学校と障害者支援施設等との交流を進めるなど、学校での総合的な探究の時間・総合的な学習の時間や道徳科・特別活動等、教育活動の中で福祉教育の充実を図ります。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12"/>
        </w:numPr>
        <w:autoSpaceDE w:val="0"/>
        <w:autoSpaceDN w:val="0"/>
        <w:adjustRightInd w:val="0"/>
        <w:spacing w:line="360" w:lineRule="exact"/>
        <w:jc w:val="left"/>
        <w:rPr>
          <w:rFonts w:hint="default"/>
        </w:rPr>
      </w:pPr>
      <w:r>
        <w:rPr>
          <w:rFonts w:hint="eastAsia"/>
        </w:rPr>
        <w:t>幼少期からのあらゆる世代における福祉教育を推進します。幼少期から地域で暮らす多様な人々との触れ合いや交流などの体験を通じて、お互いの個性や多様性を認め合い、人を思いやる福祉の心を育み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12"/>
        </w:numPr>
        <w:autoSpaceDE w:val="0"/>
        <w:autoSpaceDN w:val="0"/>
        <w:adjustRightInd w:val="0"/>
        <w:spacing w:line="360" w:lineRule="exact"/>
        <w:jc w:val="left"/>
        <w:rPr>
          <w:rFonts w:hint="default"/>
        </w:rPr>
      </w:pPr>
      <w:r>
        <w:rPr>
          <w:rFonts w:hint="eastAsia"/>
          <w:kern w:val="0"/>
        </w:rPr>
        <w:t>ボランティア活動などふれあいを大切にした体験学習を実施し、個性や多様性を認め合う教育を推進します。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12"/>
        </w:numPr>
        <w:autoSpaceDE w:val="0"/>
        <w:autoSpaceDN w:val="0"/>
        <w:adjustRightInd w:val="0"/>
        <w:spacing w:line="360" w:lineRule="exact"/>
        <w:jc w:val="left"/>
        <w:rPr>
          <w:rFonts w:hint="default"/>
        </w:rPr>
      </w:pPr>
      <w:r>
        <w:rPr>
          <w:rFonts w:hint="eastAsia"/>
          <w:kern w:val="0"/>
        </w:rPr>
        <w:t>子どもの多様性を認め、全ての子どもが共に学び、共に育つ環境を整備するため、特別支援学校</w:t>
      </w:r>
      <w:r>
        <w:rPr>
          <w:rFonts w:hint="eastAsia"/>
          <w:spacing w:val="-4"/>
          <w:kern w:val="0"/>
          <w:vertAlign w:val="superscript"/>
        </w:rPr>
        <w:t>＊</w:t>
      </w:r>
      <w:r>
        <w:rPr>
          <w:rFonts w:hint="eastAsia"/>
          <w:kern w:val="0"/>
        </w:rPr>
        <w:t>と地域の幼稚園等・小学校・中学校・高等学校の幼児児童生徒や地域社会の人々との交流を推進します。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12"/>
        </w:numPr>
        <w:autoSpaceDE w:val="0"/>
        <w:autoSpaceDN w:val="0"/>
        <w:adjustRightInd w:val="0"/>
        <w:spacing w:line="360" w:lineRule="exact"/>
        <w:jc w:val="left"/>
        <w:rPr>
          <w:rFonts w:hint="default"/>
          <w:spacing w:val="-4"/>
          <w:kern w:val="0"/>
          <w:sz w:val="16"/>
        </w:rPr>
      </w:pPr>
      <w:r>
        <w:rPr>
          <w:rFonts w:hint="eastAsia"/>
          <w:kern w:val="0"/>
        </w:rPr>
        <w:t>障害のある人も無い人も、地域で共に暮らす仲間としての理解が深まるよう、障害者支援施設等の行事への住民参加や、地域行事への施設利用者の参加などを通じて相互交流を図ります。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sz w:val="16"/>
        </w:rPr>
      </w:pPr>
    </w:p>
    <w:p>
      <w:pPr>
        <w:pStyle w:val="0"/>
        <w:numPr>
          <w:ilvl w:val="0"/>
          <w:numId w:val="12"/>
        </w:numPr>
        <w:autoSpaceDE w:val="0"/>
        <w:autoSpaceDN w:val="0"/>
        <w:adjustRightInd w:val="0"/>
        <w:spacing w:line="360" w:lineRule="exact"/>
        <w:jc w:val="left"/>
        <w:rPr>
          <w:rFonts w:hint="default"/>
          <w:spacing w:val="-4"/>
          <w:kern w:val="0"/>
          <w:sz w:val="16"/>
        </w:rPr>
      </w:pPr>
      <w:r>
        <w:rPr>
          <w:rFonts w:hint="eastAsia"/>
          <w:kern w:val="0"/>
        </w:rPr>
        <w:t>障害のある人や高齢者、子どものふれあいの場となる地域の見守り拠点や交流の場である「居場所」づくりを推進します。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sz w:val="16"/>
        </w:rPr>
      </w:pPr>
    </w:p>
    <w:p>
      <w:pPr>
        <w:pStyle w:val="0"/>
        <w:rPr>
          <w:rFonts w:hint="default"/>
        </w:rPr>
      </w:pPr>
      <w:r>
        <w:rPr>
          <w:rFonts w:hint="eastAsia" w:ascii="ＭＳ ゴシック" w:hAnsi="ＭＳ ゴシック" w:eastAsia="ＭＳ ゴシック"/>
        </w:rPr>
        <w:t>【数値目標】</w:t>
      </w:r>
    </w:p>
    <w:tbl>
      <w:tblPr>
        <w:tblStyle w:val="11"/>
        <w:tblW w:w="9687"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6"/>
        <w:gridCol w:w="4883"/>
        <w:gridCol w:w="2194"/>
        <w:gridCol w:w="2194"/>
      </w:tblGrid>
      <w:tr>
        <w:trPr>
          <w:trHeight w:val="63"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279"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保育・介護体験実習を行った高等学校の割合</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2020</w:t>
            </w:r>
            <w:r>
              <w:rPr>
                <w:rFonts w:hint="eastAsia"/>
              </w:rPr>
              <w:t>年度）</w:t>
            </w:r>
          </w:p>
          <w:p>
            <w:pPr>
              <w:pStyle w:val="0"/>
              <w:spacing w:line="360" w:lineRule="exact"/>
              <w:jc w:val="center"/>
              <w:rPr>
                <w:rFonts w:hint="default"/>
              </w:rPr>
            </w:pPr>
            <w:r>
              <w:rPr>
                <w:rFonts w:hint="eastAsia"/>
              </w:rPr>
              <w:t>26.4</w:t>
            </w:r>
            <w:r>
              <w:rPr>
                <w:rFonts w:hint="default"/>
              </w:rPr>
              <w:t>％</w:t>
            </w:r>
          </w:p>
          <w:p>
            <w:pPr>
              <w:pStyle w:val="0"/>
              <w:spacing w:line="280" w:lineRule="exact"/>
              <w:jc w:val="center"/>
              <w:rPr>
                <w:rFonts w:hint="default"/>
              </w:rPr>
            </w:pPr>
            <w:r>
              <w:rPr>
                <w:rFonts w:hint="eastAsia"/>
                <w:sz w:val="20"/>
              </w:rPr>
              <w:t>※コロナ影響により実施率減少</w:t>
            </w:r>
          </w:p>
        </w:tc>
        <w:tc>
          <w:tcPr>
            <w:tcW w:w="2189" w:type="dxa"/>
            <w:vAlign w:val="center"/>
          </w:tcPr>
          <w:p>
            <w:pPr>
              <w:pStyle w:val="0"/>
              <w:spacing w:line="360" w:lineRule="exact"/>
              <w:jc w:val="center"/>
              <w:rPr>
                <w:rFonts w:hint="default"/>
              </w:rPr>
            </w:pPr>
            <w:r>
              <w:rPr>
                <w:rFonts w:hint="eastAsia"/>
              </w:rPr>
              <w:t>（</w:t>
            </w:r>
            <w:r>
              <w:rPr>
                <w:rFonts w:hint="eastAsia"/>
              </w:rPr>
              <w:t>2025</w:t>
            </w:r>
            <w:r>
              <w:rPr>
                <w:rFonts w:hint="eastAsia"/>
              </w:rPr>
              <w:t>年度）</w:t>
            </w:r>
          </w:p>
          <w:p>
            <w:pPr>
              <w:pStyle w:val="0"/>
              <w:spacing w:line="360" w:lineRule="exact"/>
              <w:jc w:val="center"/>
              <w:rPr>
                <w:rFonts w:hint="default"/>
              </w:rPr>
            </w:pPr>
            <w:r>
              <w:rPr>
                <w:rFonts w:hint="default"/>
              </w:rPr>
              <w:t>100</w:t>
            </w:r>
            <w:r>
              <w:rPr>
                <w:rFonts w:hint="default"/>
              </w:rPr>
              <w:t>％</w:t>
            </w:r>
          </w:p>
        </w:tc>
      </w:tr>
    </w:tbl>
    <w:p>
      <w:pPr>
        <w:pStyle w:val="0"/>
        <w:rPr>
          <w:rFonts w:hint="default"/>
        </w:rPr>
      </w:pPr>
    </w:p>
    <w:p>
      <w:pPr>
        <w:pStyle w:val="0"/>
        <w:outlineLvl w:val="2"/>
        <w:rPr>
          <w:rFonts w:hint="default"/>
        </w:rPr>
      </w:pPr>
      <w:bookmarkStart w:id="89" w:name="_Toc503474044"/>
      <w:r>
        <w:rPr>
          <w:rFonts w:hint="eastAsia" w:ascii="ＭＳ ゴシック" w:hAnsi="ＭＳ ゴシック" w:eastAsia="ＭＳ ゴシック"/>
        </w:rPr>
        <w:t>（５）関係団体等との協働の推進</w:t>
      </w:r>
    </w:p>
    <w:p>
      <w:pPr>
        <w:pStyle w:val="0"/>
        <w:rPr>
          <w:rFonts w:hint="default"/>
        </w:rPr>
      </w:pPr>
      <w:r>
        <w:rPr>
          <w:rFonts w:hint="eastAsia" w:ascii="ＭＳ ゴシック" w:hAnsi="ＭＳ ゴシック" w:eastAsia="ＭＳ ゴシック"/>
        </w:rPr>
        <w:t>【現状と課</w:t>
      </w:r>
      <w:bookmarkEnd w:id="89"/>
      <w:r>
        <w:rPr>
          <w:rFonts w:hint="eastAsia" w:ascii="ＭＳ ゴシック" w:hAnsi="ＭＳ ゴシック" w:eastAsia="ＭＳ ゴシック"/>
        </w:rPr>
        <w:t>題】</w:t>
      </w:r>
    </w:p>
    <w:p>
      <w:pPr>
        <w:pStyle w:val="0"/>
        <w:numPr>
          <w:ilvl w:val="0"/>
          <w:numId w:val="13"/>
        </w:numPr>
        <w:autoSpaceDE w:val="0"/>
        <w:autoSpaceDN w:val="0"/>
        <w:adjustRightInd w:val="0"/>
        <w:spacing w:line="360" w:lineRule="exact"/>
        <w:jc w:val="left"/>
        <w:rPr>
          <w:rFonts w:hint="default"/>
        </w:rPr>
      </w:pPr>
      <w:r>
        <w:rPr>
          <w:rFonts w:hint="eastAsia"/>
          <w:kern w:val="0"/>
        </w:rPr>
        <w:t>障害当事者団体においては、構成員の高齢化と新規加入者の減少による組織力の低下が懸念されています。障害のある人の自立した地域生活や社会参加の促進のため、障害当事者団体の主体的な福祉活動を支援していく必要があります。</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【県の取組】</w:t>
      </w:r>
    </w:p>
    <w:p>
      <w:pPr>
        <w:pStyle w:val="0"/>
        <w:numPr>
          <w:ilvl w:val="0"/>
          <w:numId w:val="14"/>
        </w:numPr>
        <w:autoSpaceDE w:val="0"/>
        <w:autoSpaceDN w:val="0"/>
        <w:adjustRightInd w:val="0"/>
        <w:spacing w:line="360" w:lineRule="exact"/>
        <w:jc w:val="left"/>
        <w:rPr>
          <w:rFonts w:hint="default"/>
        </w:rPr>
      </w:pPr>
      <w:r>
        <w:rPr>
          <w:rFonts w:hint="eastAsia"/>
          <w:kern w:val="0"/>
        </w:rPr>
        <w:t>身体障害者福祉会、手をつなぐ育成会、精神保健福祉会連合会、難病団体連絡協議会ほか関係団体と協力しながら各種事業を実施するとともに、各団体の主体的な福祉活動への必要な支援を行います。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pacing w:val="-4"/>
          <w:kern w:val="0"/>
          <w:sz w:val="16"/>
        </w:rPr>
        <w:t>健康福祉部医療局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14"/>
        </w:numPr>
        <w:autoSpaceDE w:val="0"/>
        <w:autoSpaceDN w:val="0"/>
        <w:adjustRightInd w:val="0"/>
        <w:spacing w:line="360" w:lineRule="exact"/>
        <w:jc w:val="left"/>
        <w:rPr>
          <w:rFonts w:hint="default"/>
        </w:rPr>
      </w:pPr>
      <w:r>
        <w:rPr>
          <w:rFonts w:hint="eastAsia"/>
          <w:kern w:val="0"/>
        </w:rPr>
        <w:t>障害のある人の生活の支援や社会参加を促進するため、県社会福祉協議会などと連携して民間社会福祉団体の活動の充実強化を図ります。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outlineLvl w:val="2"/>
        <w:rPr>
          <w:rFonts w:hint="default" w:ascii="ＭＳ ゴシック" w:hAnsi="ＭＳ ゴシック" w:eastAsia="ＭＳ ゴシック"/>
        </w:rPr>
      </w:pPr>
      <w:bookmarkStart w:id="90" w:name="_Toc503474046"/>
    </w:p>
    <w:p>
      <w:pPr>
        <w:pStyle w:val="0"/>
        <w:outlineLvl w:val="2"/>
        <w:rPr>
          <w:rFonts w:hint="default" w:ascii="ＭＳ ゴシック" w:hAnsi="ＭＳ ゴシック" w:eastAsia="ＭＳ ゴシック"/>
        </w:rPr>
      </w:pPr>
      <w:r>
        <w:rPr>
          <w:rFonts w:hint="eastAsia" w:ascii="ＭＳ ゴシック" w:hAnsi="ＭＳ ゴシック" w:eastAsia="ＭＳ ゴシック"/>
        </w:rPr>
        <w:t>（</w:t>
      </w:r>
      <w:bookmarkEnd w:id="90"/>
      <w:r>
        <w:rPr>
          <w:rFonts w:hint="eastAsia" w:ascii="ＭＳ ゴシック" w:hAnsi="ＭＳ ゴシック" w:eastAsia="ＭＳ ゴシック"/>
        </w:rPr>
        <w:t>６）投票しやすい環境の整備</w:t>
      </w:r>
    </w:p>
    <w:p>
      <w:pPr>
        <w:pStyle w:val="0"/>
        <w:rPr>
          <w:rFonts w:hint="default"/>
        </w:rPr>
      </w:pPr>
      <w:r>
        <w:rPr>
          <w:rFonts w:hint="eastAsia" w:ascii="ＭＳ ゴシック" w:hAnsi="ＭＳ ゴシック" w:eastAsia="ＭＳ ゴシック"/>
        </w:rPr>
        <w:t>【現状と課題】</w:t>
      </w:r>
    </w:p>
    <w:p>
      <w:pPr>
        <w:pStyle w:val="0"/>
        <w:numPr>
          <w:ilvl w:val="0"/>
          <w:numId w:val="15"/>
        </w:numPr>
        <w:autoSpaceDE w:val="0"/>
        <w:autoSpaceDN w:val="0"/>
        <w:adjustRightInd w:val="0"/>
        <w:spacing w:line="360" w:lineRule="exact"/>
        <w:jc w:val="left"/>
        <w:rPr>
          <w:rFonts w:hint="default"/>
          <w:kern w:val="0"/>
        </w:rPr>
      </w:pPr>
      <w:r>
        <w:rPr>
          <w:rFonts w:hint="eastAsia"/>
          <w:kern w:val="0"/>
        </w:rPr>
        <w:t>障害のある有権者が選挙に関する情報を取得できるよう、選挙公報の点字版・音声版を作成するとともに、期日前投票所を含む投票所において、障害のある有権者が円滑に投票することができるよう、引き続き投票所のバリアフリー化に取り組んでいくことが必要です。</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【県の取組】</w:t>
      </w: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ア　選挙情報の提供</w:t>
      </w:r>
    </w:p>
    <w:p>
      <w:pPr>
        <w:pStyle w:val="0"/>
        <w:numPr>
          <w:ilvl w:val="0"/>
          <w:numId w:val="16"/>
        </w:numPr>
        <w:autoSpaceDE w:val="0"/>
        <w:autoSpaceDN w:val="0"/>
        <w:adjustRightInd w:val="0"/>
        <w:spacing w:line="360" w:lineRule="exact"/>
        <w:jc w:val="left"/>
        <w:rPr>
          <w:rFonts w:hint="default"/>
        </w:rPr>
      </w:pPr>
      <w:r>
        <w:rPr>
          <w:rFonts w:hint="eastAsia"/>
          <w:kern w:val="0"/>
        </w:rPr>
        <w:t>政見放送が可能な選挙については、政見放送への手話通訳や字幕の挿入について円滑な運用に努めます。</w:t>
      </w:r>
    </w:p>
    <w:p>
      <w:pPr>
        <w:pStyle w:val="0"/>
        <w:autoSpaceDE w:val="0"/>
        <w:autoSpaceDN w:val="0"/>
        <w:adjustRightInd w:val="0"/>
        <w:spacing w:line="360" w:lineRule="exact"/>
        <w:ind w:left="868"/>
        <w:jc w:val="left"/>
        <w:rPr>
          <w:rFonts w:hint="default"/>
        </w:rPr>
      </w:pPr>
    </w:p>
    <w:p>
      <w:pPr>
        <w:pStyle w:val="0"/>
        <w:numPr>
          <w:ilvl w:val="0"/>
          <w:numId w:val="16"/>
        </w:numPr>
        <w:autoSpaceDE w:val="0"/>
        <w:autoSpaceDN w:val="0"/>
        <w:adjustRightInd w:val="0"/>
        <w:spacing w:line="360" w:lineRule="exact"/>
        <w:jc w:val="left"/>
        <w:rPr>
          <w:rFonts w:hint="default"/>
        </w:rPr>
      </w:pPr>
      <w:r>
        <w:rPr>
          <w:rFonts w:hint="eastAsia"/>
          <w:kern w:val="0"/>
        </w:rPr>
        <w:t>県選挙管理委員会が発行する選挙公報について、点字版や音声版を作成して候補者情報の提供に努めます。</w:t>
      </w:r>
      <w:r>
        <w:rPr>
          <w:rFonts w:hint="eastAsia"/>
          <w:sz w:val="16"/>
        </w:rPr>
        <w:t>[</w:t>
      </w:r>
      <w:r>
        <w:rPr>
          <w:rFonts w:hint="eastAsia"/>
          <w:sz w:val="16"/>
        </w:rPr>
        <w:t>選挙管理委員会</w:t>
      </w:r>
      <w:r>
        <w:rPr>
          <w:rFonts w:hint="eastAsia"/>
          <w:sz w:val="16"/>
        </w:rPr>
        <w:t>]</w:t>
      </w:r>
    </w:p>
    <w:p>
      <w:pPr>
        <w:pStyle w:val="0"/>
        <w:autoSpaceDE w:val="0"/>
        <w:autoSpaceDN w:val="0"/>
        <w:adjustRightInd w:val="0"/>
        <w:spacing w:line="360" w:lineRule="exact"/>
        <w:ind w:left="868"/>
        <w:jc w:val="left"/>
        <w:rPr>
          <w:rFonts w:hint="default"/>
        </w:rPr>
      </w:pPr>
    </w:p>
    <w:p>
      <w:pPr>
        <w:pStyle w:val="0"/>
        <w:spacing w:line="360" w:lineRule="exact"/>
        <w:ind w:left="492" w:leftChars="105" w:hanging="240" w:hangingChars="100"/>
        <w:rPr>
          <w:rFonts w:hint="default" w:ascii="ＭＳ ゴシック" w:hAnsi="ＭＳ ゴシック" w:eastAsia="ＭＳ ゴシック"/>
        </w:rPr>
      </w:pPr>
      <w:r>
        <w:rPr>
          <w:rFonts w:hint="eastAsia" w:ascii="ＭＳ ゴシック" w:hAnsi="ＭＳ ゴシック" w:eastAsia="ＭＳ ゴシック"/>
        </w:rPr>
        <w:t>イ　投票に対する配慮</w:t>
      </w:r>
    </w:p>
    <w:p>
      <w:pPr>
        <w:pStyle w:val="0"/>
        <w:numPr>
          <w:ilvl w:val="0"/>
          <w:numId w:val="17"/>
        </w:numPr>
        <w:autoSpaceDE w:val="0"/>
        <w:autoSpaceDN w:val="0"/>
        <w:adjustRightInd w:val="0"/>
        <w:spacing w:line="360" w:lineRule="exact"/>
        <w:jc w:val="left"/>
        <w:rPr>
          <w:rFonts w:hint="default"/>
          <w:sz w:val="16"/>
        </w:rPr>
      </w:pPr>
      <w:r>
        <w:rPr>
          <w:rFonts w:hint="eastAsia"/>
          <w:kern w:val="0"/>
        </w:rPr>
        <w:t>投票所において、障害のある人のための駐車スペースの確保や段差がある場合にスロープを設置してバリアフリー化を図るなど、障害のある人にとって投票しやすい環境を整備するように市区町選挙管理委員会に働きかけます。</w:t>
      </w:r>
      <w:r>
        <w:rPr>
          <w:rFonts w:hint="eastAsia"/>
          <w:sz w:val="16"/>
        </w:rPr>
        <w:t>[</w:t>
      </w:r>
      <w:r>
        <w:rPr>
          <w:rFonts w:hint="eastAsia"/>
          <w:sz w:val="16"/>
        </w:rPr>
        <w:t>選挙管理委員会</w:t>
      </w:r>
      <w:r>
        <w:rPr>
          <w:rFonts w:hint="eastAsia"/>
          <w:sz w:val="16"/>
        </w:rPr>
        <w:t>]</w:t>
      </w:r>
    </w:p>
    <w:p>
      <w:pPr>
        <w:pStyle w:val="0"/>
        <w:autoSpaceDE w:val="0"/>
        <w:autoSpaceDN w:val="0"/>
        <w:adjustRightInd w:val="0"/>
        <w:spacing w:line="360" w:lineRule="exact"/>
        <w:ind w:left="868"/>
        <w:jc w:val="left"/>
        <w:rPr>
          <w:rFonts w:hint="default"/>
          <w:sz w:val="16"/>
        </w:rPr>
      </w:pPr>
    </w:p>
    <w:p>
      <w:pPr>
        <w:pStyle w:val="0"/>
        <w:numPr>
          <w:ilvl w:val="0"/>
          <w:numId w:val="17"/>
        </w:numPr>
        <w:autoSpaceDE w:val="0"/>
        <w:autoSpaceDN w:val="0"/>
        <w:adjustRightInd w:val="0"/>
        <w:spacing w:line="360" w:lineRule="exact"/>
        <w:jc w:val="left"/>
        <w:rPr>
          <w:rFonts w:hint="default"/>
        </w:rPr>
      </w:pPr>
      <w:r>
        <w:rPr>
          <w:rFonts w:hint="eastAsia"/>
          <w:kern w:val="0"/>
        </w:rPr>
        <w:t>投票所において、車イス用の投票記載台、点字による候補者名簿、点字器、文鎮など、障害のある人や介助が必要な人がより投票しやすい設備や備品を準備するように市区町選挙管理委員会に働きかけます。</w:t>
      </w:r>
      <w:r>
        <w:rPr>
          <w:rFonts w:hint="eastAsia"/>
          <w:sz w:val="16"/>
        </w:rPr>
        <w:t>[</w:t>
      </w:r>
      <w:r>
        <w:rPr>
          <w:rFonts w:hint="eastAsia"/>
          <w:sz w:val="16"/>
        </w:rPr>
        <w:t>選挙管理委員会</w:t>
      </w:r>
      <w:r>
        <w:rPr>
          <w:rFonts w:hint="eastAsia"/>
          <w:sz w:val="16"/>
        </w:rPr>
        <w:t>]</w:t>
      </w:r>
    </w:p>
    <w:p>
      <w:pPr>
        <w:pStyle w:val="0"/>
        <w:autoSpaceDE w:val="0"/>
        <w:autoSpaceDN w:val="0"/>
        <w:adjustRightInd w:val="0"/>
        <w:spacing w:line="360" w:lineRule="exact"/>
        <w:ind w:left="868"/>
        <w:jc w:val="left"/>
        <w:rPr>
          <w:rFonts w:hint="default"/>
        </w:rPr>
      </w:pPr>
    </w:p>
    <w:p>
      <w:pPr>
        <w:pStyle w:val="0"/>
        <w:numPr>
          <w:ilvl w:val="0"/>
          <w:numId w:val="17"/>
        </w:numPr>
        <w:autoSpaceDE w:val="0"/>
        <w:autoSpaceDN w:val="0"/>
        <w:adjustRightInd w:val="0"/>
        <w:spacing w:line="360" w:lineRule="exact"/>
        <w:jc w:val="left"/>
        <w:rPr>
          <w:rFonts w:hint="default"/>
          <w:sz w:val="16"/>
        </w:rPr>
      </w:pPr>
      <w:r>
        <w:rPr>
          <w:rFonts w:hint="eastAsia"/>
          <w:kern w:val="0"/>
        </w:rPr>
        <w:t>自書ができない人に対し、代理投票が可能であることを周知するように市区町選挙管理委員会に働きかけます。</w:t>
      </w:r>
      <w:r>
        <w:rPr>
          <w:rFonts w:hint="eastAsia"/>
          <w:sz w:val="16"/>
        </w:rPr>
        <w:t>[</w:t>
      </w:r>
      <w:r>
        <w:rPr>
          <w:rFonts w:hint="eastAsia"/>
          <w:sz w:val="16"/>
        </w:rPr>
        <w:t>選挙管理委員会</w:t>
      </w:r>
      <w:r>
        <w:rPr>
          <w:rFonts w:hint="eastAsia"/>
          <w:sz w:val="16"/>
        </w:rPr>
        <w:t>]</w:t>
      </w:r>
    </w:p>
    <w:p>
      <w:pPr>
        <w:pStyle w:val="0"/>
        <w:autoSpaceDE w:val="0"/>
        <w:autoSpaceDN w:val="0"/>
        <w:adjustRightInd w:val="0"/>
        <w:spacing w:line="360" w:lineRule="exact"/>
        <w:ind w:left="868"/>
        <w:jc w:val="left"/>
        <w:rPr>
          <w:rFonts w:hint="default"/>
          <w:sz w:val="16"/>
        </w:rPr>
      </w:pPr>
    </w:p>
    <w:p>
      <w:pPr>
        <w:pStyle w:val="0"/>
        <w:numPr>
          <w:ilvl w:val="0"/>
          <w:numId w:val="17"/>
        </w:numPr>
        <w:autoSpaceDE w:val="0"/>
        <w:autoSpaceDN w:val="0"/>
        <w:adjustRightInd w:val="0"/>
        <w:spacing w:line="360" w:lineRule="exact"/>
        <w:jc w:val="left"/>
        <w:rPr>
          <w:rFonts w:hint="default"/>
          <w:sz w:val="16"/>
        </w:rPr>
      </w:pPr>
      <w:r>
        <w:rPr>
          <w:rFonts w:hint="eastAsia"/>
          <w:kern w:val="0"/>
        </w:rPr>
        <w:t>障害のある人に対し、投票のわかりやすい説明・対応ができるように市区町選挙管理委員会に働きかけます。</w:t>
      </w:r>
      <w:r>
        <w:rPr>
          <w:rFonts w:hint="eastAsia"/>
          <w:sz w:val="16"/>
        </w:rPr>
        <w:t>[</w:t>
      </w:r>
      <w:r>
        <w:rPr>
          <w:rFonts w:hint="eastAsia"/>
          <w:sz w:val="16"/>
        </w:rPr>
        <w:t>選挙管理委員会</w:t>
      </w:r>
      <w:r>
        <w:rPr>
          <w:rFonts w:hint="eastAsia"/>
          <w:sz w:val="16"/>
        </w:rPr>
        <w:t>]</w:t>
      </w:r>
    </w:p>
    <w:p>
      <w:pPr>
        <w:pStyle w:val="0"/>
        <w:autoSpaceDE w:val="0"/>
        <w:autoSpaceDN w:val="0"/>
        <w:adjustRightInd w:val="0"/>
        <w:spacing w:line="360" w:lineRule="exact"/>
        <w:ind w:left="868"/>
        <w:jc w:val="left"/>
        <w:rPr>
          <w:rFonts w:hint="default"/>
          <w:sz w:val="16"/>
        </w:rPr>
      </w:pPr>
    </w:p>
    <w:p>
      <w:pPr>
        <w:pStyle w:val="0"/>
        <w:rPr>
          <w:rFonts w:hint="default"/>
        </w:rPr>
      </w:pPr>
      <w:r>
        <w:rPr>
          <w:rFonts w:hint="eastAsia" w:ascii="ＭＳ ゴシック" w:hAnsi="ＭＳ ゴシック" w:eastAsia="ＭＳ ゴシック"/>
        </w:rPr>
        <w:t>【数値目標】</w:t>
      </w:r>
    </w:p>
    <w:tbl>
      <w:tblPr>
        <w:tblStyle w:val="11"/>
        <w:tblW w:w="9649"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00"/>
        <w:gridCol w:w="4871"/>
        <w:gridCol w:w="2189"/>
        <w:gridCol w:w="2189"/>
      </w:tblGrid>
      <w:tr>
        <w:trPr>
          <w:trHeight w:val="239" w:hRule="atLeast"/>
        </w:trPr>
        <w:tc>
          <w:tcPr>
            <w:tcW w:w="40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203" w:hRule="atLeast"/>
        </w:trPr>
        <w:tc>
          <w:tcPr>
            <w:tcW w:w="40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投票所のうち、入口に段差のない投票所又は段差を解消するための措置が採られた投票所の割合</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2016</w:t>
            </w:r>
            <w:r>
              <w:rPr>
                <w:rFonts w:hint="eastAsia"/>
              </w:rPr>
              <w:t>年度）</w:t>
            </w:r>
          </w:p>
          <w:p>
            <w:pPr>
              <w:pStyle w:val="0"/>
              <w:spacing w:line="360" w:lineRule="exact"/>
              <w:jc w:val="center"/>
              <w:rPr>
                <w:rFonts w:hint="default"/>
              </w:rPr>
            </w:pPr>
            <w:r>
              <w:rPr>
                <w:rFonts w:hint="eastAsia"/>
              </w:rPr>
              <w:t>100</w:t>
            </w:r>
            <w:r>
              <w:rPr>
                <w:rFonts w:hint="eastAsia"/>
              </w:rPr>
              <w:t>％</w:t>
            </w:r>
          </w:p>
        </w:tc>
        <w:tc>
          <w:tcPr>
            <w:tcW w:w="2189" w:type="dxa"/>
            <w:vAlign w:val="center"/>
          </w:tcPr>
          <w:p>
            <w:pPr>
              <w:pStyle w:val="0"/>
              <w:spacing w:line="360" w:lineRule="exact"/>
              <w:jc w:val="center"/>
              <w:rPr>
                <w:rFonts w:hint="default"/>
              </w:rPr>
            </w:pPr>
            <w:r>
              <w:rPr>
                <w:rFonts w:hint="eastAsia"/>
              </w:rPr>
              <w:t>（</w:t>
            </w:r>
            <w:r>
              <w:rPr>
                <w:rFonts w:hint="eastAsia"/>
              </w:rPr>
              <w:t>2021</w:t>
            </w:r>
            <w:r>
              <w:rPr>
                <w:rFonts w:hint="eastAsia"/>
              </w:rPr>
              <w:t>年度）</w:t>
            </w:r>
          </w:p>
          <w:p>
            <w:pPr>
              <w:pStyle w:val="0"/>
              <w:spacing w:line="360" w:lineRule="exact"/>
              <w:jc w:val="center"/>
              <w:rPr>
                <w:rFonts w:hint="default"/>
              </w:rPr>
            </w:pPr>
            <w:r>
              <w:rPr>
                <w:rFonts w:hint="eastAsia"/>
              </w:rPr>
              <w:t>100</w:t>
            </w:r>
            <w:r>
              <w:rPr>
                <w:rFonts w:hint="eastAsia"/>
              </w:rPr>
              <w:t>％（維持）</w:t>
            </w:r>
          </w:p>
        </w:tc>
      </w:tr>
    </w:tbl>
    <w:p>
      <w:pPr>
        <w:pStyle w:val="0"/>
        <w:rPr>
          <w:rFonts w:hint="default" w:ascii="ＭＳ ゴシック" w:hAnsi="ＭＳ ゴシック" w:eastAsia="ＭＳ ゴシック"/>
          <w:sz w:val="26"/>
          <w:u w:val="single" w:color="auto"/>
        </w:rPr>
      </w:pPr>
      <w:r>
        <w:rPr>
          <w:rFonts w:hint="eastAsia"/>
        </w:rPr>
        <w:br w:type="page"/>
      </w:r>
      <w:r>
        <w:rPr>
          <w:rFonts w:hint="eastAsia" w:ascii="ＭＳ ゴシック" w:hAnsi="ＭＳ ゴシック" w:eastAsia="ＭＳ ゴシック"/>
          <w:sz w:val="26"/>
          <w:u w:val="single" w:color="auto"/>
        </w:rPr>
        <w:t>２　情報保障の推進</w:t>
      </w:r>
    </w:p>
    <w:p>
      <w:pPr>
        <w:pStyle w:val="0"/>
        <w:outlineLvl w:val="2"/>
        <w:rPr>
          <w:rFonts w:hint="default"/>
        </w:rPr>
      </w:pPr>
      <w:r>
        <w:rPr>
          <w:rFonts w:hint="eastAsia" w:ascii="ＭＳ ゴシック" w:hAnsi="ＭＳ ゴシック" w:eastAsia="ＭＳ ゴシック"/>
        </w:rPr>
        <w:t>（１）情報保障の推進</w:t>
      </w:r>
    </w:p>
    <w:p>
      <w:pPr>
        <w:pStyle w:val="0"/>
        <w:rPr>
          <w:rFonts w:hint="default"/>
        </w:rPr>
      </w:pPr>
      <w:r>
        <w:rPr>
          <w:rFonts w:hint="eastAsia" w:ascii="ＭＳ ゴシック" w:hAnsi="ＭＳ ゴシック" w:eastAsia="ＭＳ ゴシック"/>
        </w:rPr>
        <w:t>【現状と課題】</w:t>
      </w:r>
    </w:p>
    <w:p>
      <w:pPr>
        <w:pStyle w:val="0"/>
        <w:spacing w:line="360" w:lineRule="exact"/>
        <w:rPr>
          <w:rFonts w:hint="default"/>
        </w:rPr>
      </w:pPr>
      <w:r>
        <w:rPr>
          <w:rFonts w:hint="eastAsia" w:ascii="ＭＳ ゴシック" w:hAnsi="ＭＳ ゴシック" w:eastAsia="ＭＳ ゴシック"/>
        </w:rPr>
        <w:t>（全般）</w:t>
      </w:r>
    </w:p>
    <w:p>
      <w:pPr>
        <w:pStyle w:val="0"/>
        <w:numPr>
          <w:ilvl w:val="0"/>
          <w:numId w:val="18"/>
        </w:numPr>
        <w:autoSpaceDE w:val="0"/>
        <w:autoSpaceDN w:val="0"/>
        <w:adjustRightInd w:val="0"/>
        <w:spacing w:line="360" w:lineRule="exact"/>
        <w:jc w:val="left"/>
        <w:rPr>
          <w:rFonts w:hint="default"/>
          <w:spacing w:val="-4"/>
        </w:rPr>
      </w:pPr>
      <w:r>
        <w:rPr>
          <w:rFonts w:hint="eastAsia"/>
          <w:kern w:val="0"/>
        </w:rPr>
        <w:t>障害のある人もない人も、相互のコミュニケーションを確保するためには、言語である手話</w:t>
      </w:r>
      <w:r>
        <w:rPr>
          <w:rFonts w:hint="eastAsia"/>
          <w:spacing w:val="-4"/>
          <w:kern w:val="0"/>
          <w:vertAlign w:val="superscript"/>
        </w:rPr>
        <w:t>＊</w:t>
      </w:r>
      <w:r>
        <w:rPr>
          <w:rFonts w:hint="eastAsia"/>
          <w:kern w:val="0"/>
        </w:rPr>
        <w:t>の普及や障害特性に配慮した要約筆記、点字、録音等のコミュニケーション手段の充実を図ることが重要です。</w:t>
      </w:r>
    </w:p>
    <w:p>
      <w:pPr>
        <w:pStyle w:val="0"/>
        <w:autoSpaceDE w:val="0"/>
        <w:autoSpaceDN w:val="0"/>
        <w:adjustRightInd w:val="0"/>
        <w:spacing w:line="360" w:lineRule="exact"/>
        <w:ind w:left="576"/>
        <w:jc w:val="left"/>
        <w:rPr>
          <w:rFonts w:hint="default"/>
          <w:spacing w:val="-4"/>
        </w:rPr>
      </w:pPr>
    </w:p>
    <w:p>
      <w:pPr>
        <w:pStyle w:val="0"/>
        <w:numPr>
          <w:ilvl w:val="0"/>
          <w:numId w:val="19"/>
        </w:numPr>
        <w:autoSpaceDE w:val="0"/>
        <w:autoSpaceDN w:val="0"/>
        <w:adjustRightInd w:val="0"/>
        <w:spacing w:line="360" w:lineRule="exact"/>
        <w:jc w:val="left"/>
        <w:rPr>
          <w:rFonts w:hint="default"/>
          <w:spacing w:val="-4"/>
        </w:rPr>
      </w:pPr>
      <w:r>
        <w:rPr>
          <w:rFonts w:hint="eastAsia"/>
          <w:spacing w:val="-4"/>
        </w:rPr>
        <w:t>コロナ禍での「新しい生活様式」において、マスクの着用や人と人との接触機会の縮減が求められる中、障害のある人のコミュニケーション手段の確保が求められます。</w:t>
      </w:r>
    </w:p>
    <w:p>
      <w:pPr>
        <w:pStyle w:val="0"/>
        <w:autoSpaceDE w:val="0"/>
        <w:autoSpaceDN w:val="0"/>
        <w:adjustRightInd w:val="0"/>
        <w:spacing w:line="360" w:lineRule="exact"/>
        <w:ind w:left="576"/>
        <w:jc w:val="left"/>
        <w:rPr>
          <w:rFonts w:hint="default"/>
          <w:spacing w:val="-4"/>
        </w:rPr>
      </w:pPr>
    </w:p>
    <w:p>
      <w:pPr>
        <w:pStyle w:val="0"/>
        <w:autoSpaceDE w:val="0"/>
        <w:autoSpaceDN w:val="0"/>
        <w:adjustRightInd w:val="0"/>
        <w:spacing w:line="360" w:lineRule="exact"/>
        <w:jc w:val="left"/>
        <w:rPr>
          <w:rFonts w:hint="default"/>
          <w:spacing w:val="-4"/>
        </w:rPr>
      </w:pPr>
      <w:r>
        <w:rPr>
          <w:rFonts w:hint="eastAsia"/>
          <w:spacing w:val="-4"/>
        </w:rPr>
        <w:t>（聴覚障害）</w:t>
      </w:r>
    </w:p>
    <w:p>
      <w:pPr>
        <w:pStyle w:val="0"/>
        <w:numPr>
          <w:ilvl w:val="0"/>
          <w:numId w:val="18"/>
        </w:numPr>
        <w:autoSpaceDE w:val="0"/>
        <w:autoSpaceDN w:val="0"/>
        <w:adjustRightInd w:val="0"/>
        <w:spacing w:line="360" w:lineRule="exact"/>
        <w:jc w:val="left"/>
        <w:rPr>
          <w:rFonts w:hint="default"/>
          <w:spacing w:val="-4"/>
        </w:rPr>
      </w:pPr>
      <w:r>
        <w:rPr>
          <w:rFonts w:hint="eastAsia"/>
          <w:spacing w:val="-4"/>
        </w:rPr>
        <w:t>県は、手話</w:t>
      </w:r>
      <w:r>
        <w:rPr>
          <w:rFonts w:hint="eastAsia"/>
          <w:spacing w:val="-4"/>
          <w:kern w:val="0"/>
          <w:vertAlign w:val="superscript"/>
        </w:rPr>
        <w:t>＊</w:t>
      </w:r>
      <w:r>
        <w:rPr>
          <w:rFonts w:hint="eastAsia"/>
          <w:spacing w:val="-4"/>
        </w:rPr>
        <w:t>が言語であるとの認識に基づき、手話の普及に関する施策の推進を図ることなどを目的とした手話言語条例を</w:t>
      </w:r>
      <w:r>
        <w:rPr>
          <w:rFonts w:hint="eastAsia"/>
          <w:spacing w:val="-4"/>
        </w:rPr>
        <w:t>2018</w:t>
      </w:r>
      <w:r>
        <w:rPr>
          <w:rFonts w:hint="eastAsia"/>
          <w:spacing w:val="-4"/>
        </w:rPr>
        <w:t>年３月に公布、施行しました。</w:t>
      </w:r>
    </w:p>
    <w:p>
      <w:pPr>
        <w:pStyle w:val="0"/>
        <w:autoSpaceDE w:val="0"/>
        <w:autoSpaceDN w:val="0"/>
        <w:adjustRightInd w:val="0"/>
        <w:spacing w:line="360" w:lineRule="exact"/>
        <w:ind w:left="576"/>
        <w:jc w:val="left"/>
        <w:rPr>
          <w:rFonts w:hint="default"/>
          <w:spacing w:val="-4"/>
        </w:rPr>
      </w:pPr>
    </w:p>
    <w:p>
      <w:pPr>
        <w:pStyle w:val="0"/>
        <w:numPr>
          <w:ilvl w:val="0"/>
          <w:numId w:val="18"/>
        </w:numPr>
        <w:autoSpaceDE w:val="0"/>
        <w:autoSpaceDN w:val="0"/>
        <w:adjustRightInd w:val="0"/>
        <w:spacing w:line="360" w:lineRule="exact"/>
        <w:jc w:val="left"/>
        <w:rPr>
          <w:rFonts w:hint="default"/>
          <w:spacing w:val="-4"/>
        </w:rPr>
      </w:pPr>
      <w:r>
        <w:rPr>
          <w:rFonts w:hint="eastAsia"/>
          <w:spacing w:val="-4"/>
        </w:rPr>
        <w:t>2020</w:t>
      </w:r>
      <w:r>
        <w:rPr>
          <w:rFonts w:hint="eastAsia"/>
          <w:spacing w:val="-4"/>
        </w:rPr>
        <w:t>年</w:t>
      </w:r>
      <w:r>
        <w:rPr>
          <w:rFonts w:hint="eastAsia"/>
          <w:spacing w:val="-4"/>
        </w:rPr>
        <w:t>12</w:t>
      </w:r>
      <w:r>
        <w:rPr>
          <w:rFonts w:hint="eastAsia"/>
          <w:spacing w:val="-4"/>
        </w:rPr>
        <w:t>月に「聴覚障害者等による電話の利用の円滑化に関する法律」が施行され、電話による意思疎通を手話</w:t>
      </w:r>
      <w:r>
        <w:rPr>
          <w:rFonts w:hint="eastAsia"/>
          <w:color w:val="000000" w:themeColor="text1"/>
          <w:spacing w:val="-4"/>
          <w:kern w:val="0"/>
          <w:vertAlign w:val="superscript"/>
        </w:rPr>
        <w:t>＊</w:t>
      </w:r>
      <w:r>
        <w:rPr>
          <w:rFonts w:hint="eastAsia"/>
          <w:spacing w:val="-4"/>
        </w:rPr>
        <w:t>や文字チャットにより仲介する「電話リレーサービス」が</w:t>
      </w:r>
      <w:r>
        <w:rPr>
          <w:rFonts w:hint="eastAsia"/>
          <w:spacing w:val="-4"/>
        </w:rPr>
        <w:t>2021</w:t>
      </w:r>
      <w:r>
        <w:rPr>
          <w:rFonts w:hint="eastAsia"/>
          <w:spacing w:val="-4"/>
        </w:rPr>
        <w:t>年７月から開始されています。</w:t>
      </w:r>
    </w:p>
    <w:p>
      <w:pPr>
        <w:pStyle w:val="0"/>
        <w:autoSpaceDE w:val="0"/>
        <w:autoSpaceDN w:val="0"/>
        <w:adjustRightInd w:val="0"/>
        <w:spacing w:line="360" w:lineRule="exact"/>
        <w:ind w:left="576"/>
        <w:jc w:val="left"/>
        <w:rPr>
          <w:rFonts w:hint="default"/>
          <w:spacing w:val="-4"/>
        </w:rPr>
      </w:pPr>
    </w:p>
    <w:p>
      <w:pPr>
        <w:pStyle w:val="0"/>
        <w:autoSpaceDE w:val="0"/>
        <w:autoSpaceDN w:val="0"/>
        <w:adjustRightInd w:val="0"/>
        <w:spacing w:line="360" w:lineRule="exact"/>
        <w:jc w:val="left"/>
        <w:rPr>
          <w:rFonts w:hint="default"/>
          <w:spacing w:val="-4"/>
        </w:rPr>
      </w:pPr>
      <w:r>
        <w:rPr>
          <w:rFonts w:hint="eastAsia"/>
          <w:spacing w:val="-4"/>
        </w:rPr>
        <w:t>（視覚障害）</w:t>
      </w:r>
    </w:p>
    <w:p>
      <w:pPr>
        <w:pStyle w:val="0"/>
        <w:numPr>
          <w:ilvl w:val="0"/>
          <w:numId w:val="19"/>
        </w:numPr>
        <w:autoSpaceDE w:val="0"/>
        <w:autoSpaceDN w:val="0"/>
        <w:adjustRightInd w:val="0"/>
        <w:spacing w:line="360" w:lineRule="exact"/>
        <w:jc w:val="left"/>
        <w:rPr>
          <w:rFonts w:hint="default"/>
          <w:spacing w:val="-4"/>
        </w:rPr>
      </w:pPr>
      <w:r>
        <w:rPr>
          <w:rFonts w:hint="eastAsia"/>
          <w:spacing w:val="-4"/>
        </w:rPr>
        <w:t>2019</w:t>
      </w:r>
      <w:r>
        <w:rPr>
          <w:rFonts w:hint="eastAsia"/>
          <w:spacing w:val="-4"/>
        </w:rPr>
        <w:t>年６月に施行された「視覚障害者等の読書環境の整備の推進に関する法律（読書バリアフリー法）」を踏まえ、障害の有無にかかわらず、すべての人が読書による文字・活字文化の恩恵を受けられる社会の実現が求められています。</w:t>
      </w:r>
    </w:p>
    <w:p>
      <w:pPr>
        <w:pStyle w:val="0"/>
        <w:autoSpaceDE w:val="0"/>
        <w:autoSpaceDN w:val="0"/>
        <w:adjustRightInd w:val="0"/>
        <w:spacing w:line="360" w:lineRule="exact"/>
        <w:ind w:left="576"/>
        <w:jc w:val="left"/>
        <w:rPr>
          <w:rFonts w:hint="default"/>
          <w:spacing w:val="-4"/>
        </w:rPr>
      </w:pPr>
    </w:p>
    <w:p>
      <w:pPr>
        <w:pStyle w:val="0"/>
        <w:autoSpaceDE w:val="0"/>
        <w:autoSpaceDN w:val="0"/>
        <w:adjustRightInd w:val="0"/>
        <w:spacing w:line="360" w:lineRule="exact"/>
        <w:jc w:val="left"/>
        <w:rPr>
          <w:rFonts w:hint="default"/>
          <w:spacing w:val="-4"/>
        </w:rPr>
      </w:pPr>
      <w:r>
        <w:rPr>
          <w:rFonts w:hint="eastAsia"/>
          <w:spacing w:val="-4"/>
        </w:rPr>
        <w:t>（その他）</w:t>
      </w:r>
    </w:p>
    <w:p>
      <w:pPr>
        <w:pStyle w:val="0"/>
        <w:numPr>
          <w:ilvl w:val="0"/>
          <w:numId w:val="19"/>
        </w:numPr>
        <w:autoSpaceDE w:val="0"/>
        <w:autoSpaceDN w:val="0"/>
        <w:adjustRightInd w:val="0"/>
        <w:spacing w:line="360" w:lineRule="exact"/>
        <w:jc w:val="left"/>
        <w:rPr>
          <w:rFonts w:hint="default"/>
          <w:spacing w:val="-4"/>
        </w:rPr>
      </w:pPr>
      <w:r>
        <w:rPr>
          <w:rFonts w:hint="eastAsia"/>
          <w:kern w:val="0"/>
        </w:rPr>
        <w:t>「障害のある方の実態調査」（</w:t>
      </w:r>
      <w:r>
        <w:rPr>
          <w:rFonts w:hint="eastAsia"/>
          <w:kern w:val="0"/>
        </w:rPr>
        <w:t>2020</w:t>
      </w:r>
      <w:r>
        <w:rPr>
          <w:rFonts w:hint="eastAsia"/>
          <w:kern w:val="0"/>
        </w:rPr>
        <w:t>年度）によると、視覚に障害のある人が希望する情報提供の媒体として、「録音物」という回答が</w:t>
      </w:r>
      <w:r>
        <w:rPr>
          <w:rFonts w:hint="eastAsia"/>
          <w:kern w:val="0"/>
        </w:rPr>
        <w:t>38.1</w:t>
      </w:r>
      <w:r>
        <w:rPr>
          <w:rFonts w:hint="eastAsia"/>
          <w:kern w:val="0"/>
        </w:rPr>
        <w:t>％と最も多く、次いで「拡大文字」が</w:t>
      </w:r>
      <w:r>
        <w:rPr>
          <w:rFonts w:hint="eastAsia"/>
          <w:kern w:val="0"/>
        </w:rPr>
        <w:t>28.5</w:t>
      </w:r>
      <w:r>
        <w:rPr>
          <w:rFonts w:hint="eastAsia"/>
          <w:kern w:val="0"/>
        </w:rPr>
        <w:t>％、「パソコンによるテキストデータ」が</w:t>
      </w:r>
      <w:r>
        <w:rPr>
          <w:rFonts w:hint="eastAsia"/>
          <w:kern w:val="0"/>
        </w:rPr>
        <w:t>13.3</w:t>
      </w:r>
      <w:r>
        <w:rPr>
          <w:rFonts w:hint="eastAsia"/>
          <w:kern w:val="0"/>
        </w:rPr>
        <w:t>％でした。また、聴覚に障害のある人がコミュニケーション手段として回答したものは、「補聴器」が</w:t>
      </w:r>
      <w:r>
        <w:rPr>
          <w:rFonts w:hint="eastAsia"/>
          <w:kern w:val="0"/>
        </w:rPr>
        <w:t>64.8</w:t>
      </w:r>
      <w:r>
        <w:rPr>
          <w:rFonts w:hint="eastAsia"/>
          <w:kern w:val="0"/>
        </w:rPr>
        <w:t>％と最も多く、次いで「筆談（要約筆記）」が</w:t>
      </w:r>
      <w:r>
        <w:rPr>
          <w:rFonts w:hint="eastAsia"/>
          <w:kern w:val="0"/>
        </w:rPr>
        <w:t>33.0</w:t>
      </w:r>
      <w:r>
        <w:rPr>
          <w:rFonts w:hint="eastAsia"/>
          <w:kern w:val="0"/>
        </w:rPr>
        <w:t>％でした。</w:t>
      </w:r>
    </w:p>
    <w:p>
      <w:pPr>
        <w:pStyle w:val="0"/>
        <w:autoSpaceDE w:val="0"/>
        <w:autoSpaceDN w:val="0"/>
        <w:adjustRightInd w:val="0"/>
        <w:spacing w:line="360" w:lineRule="exact"/>
        <w:ind w:left="576"/>
        <w:jc w:val="left"/>
        <w:rPr>
          <w:rFonts w:hint="default"/>
          <w:spacing w:val="-4"/>
        </w:rPr>
      </w:pPr>
    </w:p>
    <w:p>
      <w:pPr>
        <w:pStyle w:val="0"/>
        <w:numPr>
          <w:ilvl w:val="0"/>
          <w:numId w:val="19"/>
        </w:numPr>
        <w:autoSpaceDE w:val="0"/>
        <w:autoSpaceDN w:val="0"/>
        <w:adjustRightInd w:val="0"/>
        <w:spacing w:line="360" w:lineRule="exact"/>
        <w:jc w:val="left"/>
        <w:rPr>
          <w:rFonts w:hint="default"/>
          <w:spacing w:val="-4"/>
        </w:rPr>
      </w:pPr>
      <w:r>
        <w:rPr>
          <w:rFonts w:hint="eastAsia"/>
          <w:kern w:val="0"/>
        </w:rPr>
        <w:t>ＩＣＴ関連機器等の発達は、障害のある人の情報収集や発信、コミュニケーション等をサポートし、就労も含めた社会参加を促進しています。ＩＣＴの進展等を踏まえ、情報のユニバーサルデザイン化を進め、障害のある人の自立と社会参加を更に促進していく必要があります。</w:t>
      </w:r>
    </w:p>
    <w:p>
      <w:pPr>
        <w:pStyle w:val="0"/>
        <w:autoSpaceDE w:val="0"/>
        <w:autoSpaceDN w:val="0"/>
        <w:adjustRightInd w:val="0"/>
        <w:spacing w:line="360" w:lineRule="exact"/>
        <w:ind w:left="576"/>
        <w:jc w:val="left"/>
        <w:rPr>
          <w:rFonts w:hint="default"/>
          <w:spacing w:val="-4"/>
        </w:rPr>
      </w:pPr>
    </w:p>
    <w:p>
      <w:pPr>
        <w:pStyle w:val="0"/>
        <w:numPr>
          <w:ilvl w:val="0"/>
          <w:numId w:val="20"/>
        </w:numPr>
        <w:autoSpaceDE w:val="0"/>
        <w:autoSpaceDN w:val="0"/>
        <w:adjustRightInd w:val="0"/>
        <w:spacing w:line="360" w:lineRule="exact"/>
        <w:jc w:val="left"/>
        <w:rPr>
          <w:rFonts w:hint="default"/>
          <w:spacing w:val="-4"/>
        </w:rPr>
      </w:pPr>
      <w:r>
        <w:rPr>
          <w:rFonts w:hint="eastAsia"/>
          <w:kern w:val="0"/>
        </w:rPr>
        <w:t>警察の捜査手続において、障害があるためにコミュニケーションや理解の面で制約を受けることがあります。このため、障害の程度・特性を踏まえた適切な配慮が必要です。</w:t>
      </w:r>
    </w:p>
    <w:p>
      <w:pPr>
        <w:pStyle w:val="0"/>
        <w:rPr>
          <w:rFonts w:hint="default"/>
        </w:rPr>
      </w:pPr>
      <w:r>
        <w:rPr>
          <w:rFonts w:hint="eastAsia" w:ascii="ＭＳ ゴシック" w:hAnsi="ＭＳ ゴシック" w:eastAsia="ＭＳ ゴシック"/>
        </w:rPr>
        <w:t>【県の取組】</w:t>
      </w:r>
    </w:p>
    <w:p>
      <w:pPr>
        <w:pStyle w:val="0"/>
        <w:spacing w:line="360" w:lineRule="exact"/>
        <w:ind w:firstLine="232" w:firstLineChars="100"/>
        <w:rPr>
          <w:rFonts w:hint="default" w:ascii="ＭＳ ゴシック" w:hAnsi="ＭＳ ゴシック" w:eastAsia="ＭＳ ゴシック"/>
        </w:rPr>
      </w:pPr>
      <w:r>
        <w:rPr>
          <w:rFonts w:hint="eastAsia" w:ascii="ＭＳ ゴシック" w:hAnsi="ＭＳ ゴシック" w:eastAsia="ＭＳ ゴシック"/>
          <w:spacing w:val="-4"/>
        </w:rPr>
        <w:t>ア　コミュニケーション手段の充実</w:t>
      </w:r>
    </w:p>
    <w:p>
      <w:pPr>
        <w:pStyle w:val="0"/>
        <w:numPr>
          <w:ilvl w:val="0"/>
          <w:numId w:val="21"/>
        </w:numPr>
        <w:autoSpaceDE w:val="0"/>
        <w:autoSpaceDN w:val="0"/>
        <w:adjustRightInd w:val="0"/>
        <w:spacing w:line="360" w:lineRule="exact"/>
        <w:jc w:val="left"/>
        <w:rPr>
          <w:rFonts w:hint="default"/>
          <w:spacing w:val="-4"/>
          <w:kern w:val="0"/>
        </w:rPr>
      </w:pPr>
      <w:r>
        <w:rPr>
          <w:rFonts w:hint="eastAsia"/>
          <w:spacing w:val="-4"/>
          <w:kern w:val="0"/>
        </w:rPr>
        <w:t>コロナ禍や災害時など、聴覚に障害のある人への手話通訳者</w:t>
      </w:r>
      <w:r>
        <w:rPr>
          <w:rFonts w:hint="eastAsia"/>
          <w:color w:val="000000" w:themeColor="text1"/>
          <w:spacing w:val="-4"/>
          <w:kern w:val="0"/>
          <w:vertAlign w:val="superscript"/>
        </w:rPr>
        <w:t>＊</w:t>
      </w:r>
      <w:r>
        <w:rPr>
          <w:rFonts w:hint="eastAsia"/>
          <w:spacing w:val="-4"/>
          <w:kern w:val="0"/>
        </w:rPr>
        <w:t>の派遣が困難な場合の情報保障として、</w:t>
      </w:r>
      <w:r>
        <w:rPr>
          <w:rFonts w:hint="eastAsia"/>
          <w:spacing w:val="-4"/>
          <w:kern w:val="0"/>
          <w:u w:val="none" w:color="auto"/>
        </w:rPr>
        <w:t>「遠隔手話通訳」</w:t>
      </w:r>
      <w:r>
        <w:rPr>
          <w:rFonts w:hint="eastAsia"/>
          <w:spacing w:val="-4"/>
          <w:kern w:val="0"/>
        </w:rPr>
        <w:t>を活用します。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21"/>
        </w:numPr>
        <w:autoSpaceDE w:val="0"/>
        <w:autoSpaceDN w:val="0"/>
        <w:adjustRightInd w:val="0"/>
        <w:spacing w:line="360" w:lineRule="exact"/>
        <w:jc w:val="left"/>
        <w:rPr>
          <w:rFonts w:hint="default"/>
          <w:spacing w:val="-4"/>
          <w:kern w:val="0"/>
        </w:rPr>
      </w:pPr>
      <w:r>
        <w:rPr>
          <w:rFonts w:hint="eastAsia"/>
          <w:spacing w:val="-4"/>
          <w:kern w:val="0"/>
        </w:rPr>
        <w:t>電話リレーサービスの認知度向上に向けた周知・広報を行います。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21"/>
        </w:numPr>
        <w:autoSpaceDE w:val="0"/>
        <w:autoSpaceDN w:val="0"/>
        <w:adjustRightInd w:val="0"/>
        <w:spacing w:line="360" w:lineRule="exact"/>
        <w:jc w:val="left"/>
        <w:rPr>
          <w:rFonts w:hint="default"/>
          <w:spacing w:val="-4"/>
          <w:kern w:val="0"/>
        </w:rPr>
      </w:pPr>
      <w:r>
        <w:rPr>
          <w:rFonts w:hint="eastAsia"/>
          <w:kern w:val="0"/>
        </w:rPr>
        <w:t>視覚や聴覚に障害のある人の自立と社会参加を促進するため、スマートフォン等のＩＣＴ機器を活用した生活訓練を行い、コミュニケーション能力の向上を支援します。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21"/>
        </w:numPr>
        <w:autoSpaceDE w:val="0"/>
        <w:autoSpaceDN w:val="0"/>
        <w:adjustRightInd w:val="0"/>
        <w:spacing w:line="360" w:lineRule="exact"/>
        <w:jc w:val="left"/>
        <w:rPr>
          <w:rFonts w:hint="default"/>
          <w:spacing w:val="-4"/>
          <w:kern w:val="0"/>
        </w:rPr>
      </w:pPr>
      <w:r>
        <w:rPr>
          <w:rFonts w:hint="eastAsia"/>
          <w:kern w:val="0"/>
        </w:rPr>
        <w:t>障害のある人の職場等における業務内容への適応やコミュニケーションの確保のため、職場適応援助者（県ジョブコーチ）</w:t>
      </w:r>
      <w:r>
        <w:rPr>
          <w:rFonts w:hint="eastAsia"/>
          <w:spacing w:val="-4"/>
          <w:kern w:val="0"/>
          <w:vertAlign w:val="superscript"/>
        </w:rPr>
        <w:t>＊</w:t>
      </w:r>
      <w:r>
        <w:rPr>
          <w:rFonts w:hint="eastAsia"/>
          <w:kern w:val="0"/>
        </w:rPr>
        <w:t>を派遣します。</w:t>
      </w:r>
      <w:r>
        <w:rPr>
          <w:rFonts w:hint="eastAsia"/>
        </w:rPr>
        <w:t>精神障害者雇用に関する従業員の理解や職場環境整備を支援するため、精神障害者職場環境アドバイザーを企業等に派遣し、研修会や相談会を実施します。</w:t>
      </w:r>
      <w:r>
        <w:rPr>
          <w:rFonts w:hint="eastAsia"/>
          <w:spacing w:val="-4"/>
          <w:kern w:val="0"/>
          <w:sz w:val="16"/>
        </w:rPr>
        <w:t>[</w:t>
      </w:r>
      <w:r>
        <w:rPr>
          <w:rFonts w:hint="eastAsia"/>
          <w:spacing w:val="-4"/>
          <w:kern w:val="0"/>
          <w:sz w:val="16"/>
        </w:rPr>
        <w:t>経済産業部就業支援局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21"/>
        </w:numPr>
        <w:autoSpaceDE w:val="0"/>
        <w:autoSpaceDN w:val="0"/>
        <w:adjustRightInd w:val="0"/>
        <w:spacing w:line="360" w:lineRule="exact"/>
        <w:jc w:val="left"/>
        <w:rPr>
          <w:rFonts w:hint="default"/>
          <w:spacing w:val="-4"/>
          <w:kern w:val="0"/>
        </w:rPr>
      </w:pPr>
      <w:r>
        <w:rPr>
          <w:rFonts w:hint="eastAsia"/>
          <w:kern w:val="0"/>
        </w:rPr>
        <w:t>事件当事者等となった障害のある人に対しては、障害特性に応じたコミュニケーション手段を確保し、事情聴取を始め、適切な対応を図ります。また、研修会等を開催し、担当者の実務能力の向上に努めます。</w:t>
      </w:r>
      <w:r>
        <w:rPr>
          <w:rFonts w:hint="default"/>
          <w:kern w:val="0"/>
          <w:sz w:val="16"/>
        </w:rPr>
        <w:t>[</w:t>
      </w:r>
      <w:r>
        <w:rPr>
          <w:rFonts w:hint="eastAsia"/>
          <w:kern w:val="0"/>
          <w:sz w:val="16"/>
        </w:rPr>
        <w:t>警察本部</w:t>
      </w:r>
      <w:r>
        <w:rPr>
          <w:rFonts w:hint="default"/>
          <w:kern w:val="0"/>
          <w:sz w:val="16"/>
        </w:rPr>
        <w:t>]</w:t>
      </w:r>
    </w:p>
    <w:p>
      <w:pPr>
        <w:pStyle w:val="0"/>
        <w:autoSpaceDE w:val="0"/>
        <w:autoSpaceDN w:val="0"/>
        <w:adjustRightInd w:val="0"/>
        <w:spacing w:line="360" w:lineRule="exact"/>
        <w:ind w:left="868"/>
        <w:jc w:val="left"/>
        <w:rPr>
          <w:rFonts w:hint="default"/>
          <w:spacing w:val="-4"/>
          <w:kern w:val="0"/>
        </w:rPr>
      </w:pPr>
    </w:p>
    <w:p>
      <w:pPr>
        <w:pStyle w:val="0"/>
        <w:spacing w:line="360" w:lineRule="exact"/>
        <w:ind w:firstLine="232" w:firstLineChars="100"/>
        <w:rPr>
          <w:rFonts w:hint="default" w:ascii="ＭＳ ゴシック" w:hAnsi="ＭＳ ゴシック" w:eastAsia="ＭＳ ゴシック"/>
        </w:rPr>
      </w:pPr>
      <w:r>
        <w:rPr>
          <w:rFonts w:hint="eastAsia" w:ascii="ＭＳ ゴシック" w:hAnsi="ＭＳ ゴシック" w:eastAsia="ＭＳ ゴシック"/>
          <w:spacing w:val="-4"/>
        </w:rPr>
        <w:t>イ　コミュニケーション支援人材の養成・派遣</w:t>
      </w:r>
    </w:p>
    <w:p>
      <w:pPr>
        <w:pStyle w:val="0"/>
        <w:numPr>
          <w:ilvl w:val="0"/>
          <w:numId w:val="22"/>
        </w:numPr>
        <w:autoSpaceDE w:val="0"/>
        <w:autoSpaceDN w:val="0"/>
        <w:adjustRightInd w:val="0"/>
        <w:spacing w:line="360" w:lineRule="exact"/>
        <w:jc w:val="left"/>
        <w:rPr>
          <w:rFonts w:hint="default"/>
          <w:spacing w:val="-4"/>
          <w:kern w:val="0"/>
        </w:rPr>
      </w:pPr>
      <w:r>
        <w:rPr>
          <w:rFonts w:hint="eastAsia"/>
          <w:kern w:val="0"/>
        </w:rPr>
        <w:t>聴覚や音声・言語機能に障害のある人とない人が、円滑なコミュニケーションを図ることができるよう、手話通訳者</w:t>
      </w:r>
      <w:r>
        <w:rPr>
          <w:rFonts w:hint="eastAsia"/>
          <w:spacing w:val="-4"/>
          <w:kern w:val="0"/>
          <w:vertAlign w:val="superscript"/>
        </w:rPr>
        <w:t>＊</w:t>
      </w:r>
      <w:r>
        <w:rPr>
          <w:rFonts w:hint="eastAsia"/>
          <w:kern w:val="0"/>
        </w:rPr>
        <w:t>、要約筆記者</w:t>
      </w:r>
      <w:r>
        <w:rPr>
          <w:rFonts w:hint="eastAsia"/>
          <w:spacing w:val="-4"/>
          <w:kern w:val="0"/>
          <w:vertAlign w:val="superscript"/>
        </w:rPr>
        <w:t>＊</w:t>
      </w:r>
      <w:r>
        <w:rPr>
          <w:rFonts w:hint="eastAsia"/>
          <w:kern w:val="0"/>
        </w:rPr>
        <w:t>、失語症者向け意思疎通支援者</w:t>
      </w:r>
      <w:r>
        <w:rPr>
          <w:rFonts w:hint="eastAsia"/>
          <w:spacing w:val="-4"/>
          <w:kern w:val="0"/>
          <w:vertAlign w:val="superscript"/>
        </w:rPr>
        <w:t>＊</w:t>
      </w:r>
      <w:r>
        <w:rPr>
          <w:rFonts w:hint="eastAsia"/>
          <w:kern w:val="0"/>
        </w:rPr>
        <w:t>を養成・派遣します。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22"/>
        </w:numPr>
        <w:autoSpaceDE w:val="0"/>
        <w:autoSpaceDN w:val="0"/>
        <w:adjustRightInd w:val="0"/>
        <w:spacing w:line="360" w:lineRule="exact"/>
        <w:jc w:val="left"/>
        <w:rPr>
          <w:rFonts w:hint="default"/>
          <w:spacing w:val="-4"/>
          <w:kern w:val="0"/>
        </w:rPr>
      </w:pPr>
      <w:r>
        <w:rPr>
          <w:rFonts w:hint="eastAsia"/>
          <w:kern w:val="0"/>
        </w:rPr>
        <w:t>盲ろう者のコミュニケーション及び移動を支援するための盲ろう者向け通訳兼介助者</w:t>
      </w:r>
      <w:r>
        <w:rPr>
          <w:rFonts w:hint="eastAsia"/>
          <w:spacing w:val="-4"/>
          <w:kern w:val="0"/>
          <w:vertAlign w:val="superscript"/>
        </w:rPr>
        <w:t>＊</w:t>
      </w:r>
      <w:r>
        <w:rPr>
          <w:rFonts w:hint="eastAsia"/>
          <w:kern w:val="0"/>
        </w:rPr>
        <w:t>を養成・派遣します。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22"/>
        </w:numPr>
        <w:autoSpaceDE w:val="0"/>
        <w:autoSpaceDN w:val="0"/>
        <w:adjustRightInd w:val="0"/>
        <w:spacing w:line="360" w:lineRule="exact"/>
        <w:jc w:val="left"/>
        <w:rPr>
          <w:rFonts w:hint="default"/>
          <w:spacing w:val="-4"/>
          <w:kern w:val="0"/>
        </w:rPr>
      </w:pPr>
      <w:r>
        <w:rPr>
          <w:rFonts w:hint="eastAsia"/>
          <w:kern w:val="0"/>
        </w:rPr>
        <w:t>視覚や聴覚に障害のある人が情報を取得しやすい環境を拡充するため、点訳や手話</w:t>
      </w:r>
      <w:r>
        <w:rPr>
          <w:rFonts w:hint="eastAsia"/>
          <w:color w:val="000000" w:themeColor="text1"/>
          <w:spacing w:val="-4"/>
          <w:kern w:val="0"/>
          <w:vertAlign w:val="superscript"/>
        </w:rPr>
        <w:t>＊</w:t>
      </w:r>
      <w:r>
        <w:rPr>
          <w:rFonts w:hint="eastAsia"/>
          <w:kern w:val="0"/>
        </w:rPr>
        <w:t>等の奉仕員</w:t>
      </w:r>
      <w:r>
        <w:rPr>
          <w:rFonts w:hint="default"/>
          <w:kern w:val="0"/>
        </w:rPr>
        <w:t>（</w:t>
      </w:r>
      <w:r>
        <w:rPr>
          <w:rFonts w:hint="eastAsia"/>
          <w:kern w:val="0"/>
        </w:rPr>
        <w:t>ボランティア</w:t>
      </w:r>
      <w:r>
        <w:rPr>
          <w:rFonts w:hint="default"/>
          <w:kern w:val="0"/>
        </w:rPr>
        <w:t>）</w:t>
      </w:r>
      <w:r>
        <w:rPr>
          <w:rFonts w:hint="eastAsia"/>
          <w:kern w:val="0"/>
        </w:rPr>
        <w:t>を養成し、資質の向上を図る研修を行います。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spacing w:line="360" w:lineRule="exact"/>
        <w:ind w:firstLine="232" w:firstLineChars="100"/>
        <w:rPr>
          <w:rFonts w:hint="default" w:ascii="ＭＳ ゴシック" w:hAnsi="ＭＳ ゴシック" w:eastAsia="ＭＳ ゴシック"/>
        </w:rPr>
      </w:pPr>
      <w:r>
        <w:rPr>
          <w:rFonts w:hint="eastAsia" w:ascii="ＭＳ ゴシック" w:hAnsi="ＭＳ ゴシック" w:eastAsia="ＭＳ ゴシック"/>
          <w:spacing w:val="-4"/>
        </w:rPr>
        <w:t>ウ　情報のユニバーサルデザイン化の推進</w:t>
      </w:r>
    </w:p>
    <w:p>
      <w:pPr>
        <w:pStyle w:val="0"/>
        <w:numPr>
          <w:ilvl w:val="0"/>
          <w:numId w:val="23"/>
        </w:numPr>
        <w:autoSpaceDE w:val="0"/>
        <w:autoSpaceDN w:val="0"/>
        <w:adjustRightInd w:val="0"/>
        <w:spacing w:line="360" w:lineRule="exact"/>
        <w:jc w:val="left"/>
        <w:rPr>
          <w:rFonts w:hint="default"/>
          <w:spacing w:val="-4"/>
          <w:kern w:val="0"/>
        </w:rPr>
      </w:pPr>
      <w:r>
        <w:rPr>
          <w:rFonts w:hint="eastAsia"/>
          <w:kern w:val="0"/>
        </w:rPr>
        <w:t>県聴覚障害者情報センターにおける字幕・手話</w:t>
      </w:r>
      <w:r>
        <w:rPr>
          <w:rFonts w:hint="eastAsia"/>
          <w:spacing w:val="-4"/>
          <w:kern w:val="0"/>
          <w:vertAlign w:val="superscript"/>
        </w:rPr>
        <w:t>＊</w:t>
      </w:r>
      <w:r>
        <w:rPr>
          <w:rFonts w:hint="eastAsia"/>
          <w:kern w:val="0"/>
        </w:rPr>
        <w:t>入りＤＶＤの制作や、情報機器の貸出しなど、聴覚に障害のある人への情報提供体制の充実を図ります。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23"/>
        </w:numPr>
        <w:autoSpaceDE w:val="0"/>
        <w:autoSpaceDN w:val="0"/>
        <w:adjustRightInd w:val="0"/>
        <w:spacing w:line="360" w:lineRule="exact"/>
        <w:jc w:val="left"/>
        <w:rPr>
          <w:rFonts w:hint="default"/>
          <w:spacing w:val="-4"/>
          <w:kern w:val="0"/>
        </w:rPr>
      </w:pPr>
      <w:r>
        <w:rPr>
          <w:rFonts w:hint="eastAsia"/>
          <w:kern w:val="0"/>
        </w:rPr>
        <w:t>県視覚障害情報支援センターの機能強化を図り、メールマガジンの配信やＩＣＴを活用した図書の提供等、視覚に障害のある人への情報提供体制の充実を図ります。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numPr>
          <w:ilvl w:val="0"/>
          <w:numId w:val="23"/>
        </w:numPr>
        <w:autoSpaceDE w:val="0"/>
        <w:autoSpaceDN w:val="0"/>
        <w:adjustRightInd w:val="0"/>
        <w:spacing w:line="360" w:lineRule="exact"/>
        <w:jc w:val="left"/>
        <w:rPr>
          <w:rFonts w:hint="default"/>
          <w:spacing w:val="-4"/>
          <w:kern w:val="0"/>
        </w:rPr>
      </w:pPr>
      <w:r>
        <w:rPr>
          <w:rFonts w:hint="eastAsia"/>
          <w:kern w:val="0"/>
        </w:rPr>
        <w:t>視覚に障害のある人が必要とする情報を正確に届けるため、点字、拡大文字、音声（ＳＰ）コード、電子データ（テキスト形式）による情報提供に取り組みます。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23"/>
        </w:numPr>
        <w:autoSpaceDE w:val="0"/>
        <w:autoSpaceDN w:val="0"/>
        <w:adjustRightInd w:val="0"/>
        <w:spacing w:line="360" w:lineRule="exact"/>
        <w:jc w:val="left"/>
        <w:rPr>
          <w:rFonts w:hint="default"/>
        </w:rPr>
      </w:pPr>
      <w:r>
        <w:rPr>
          <w:rFonts w:hint="eastAsia"/>
        </w:rPr>
        <w:t>静岡県手話言語条例第８条第１項において、県は手話</w:t>
      </w:r>
      <w:r>
        <w:rPr>
          <w:rFonts w:hint="eastAsia"/>
          <w:color w:val="000000" w:themeColor="text1"/>
          <w:spacing w:val="-4"/>
          <w:kern w:val="0"/>
          <w:vertAlign w:val="superscript"/>
        </w:rPr>
        <w:t>＊</w:t>
      </w:r>
      <w:r>
        <w:rPr>
          <w:rFonts w:hint="eastAsia"/>
        </w:rPr>
        <w:t>を使いやすい環境の整備等に関する施策を定め、これを計画的に推進することが規定されていることを踏まえ、条例の基本理念や手話及びろう者</w:t>
      </w:r>
      <w:r>
        <w:rPr>
          <w:rFonts w:hint="eastAsia"/>
          <w:spacing w:val="-4"/>
          <w:kern w:val="0"/>
          <w:vertAlign w:val="superscript"/>
        </w:rPr>
        <w:t>＊</w:t>
      </w:r>
      <w:r>
        <w:rPr>
          <w:rFonts w:hint="eastAsia"/>
        </w:rPr>
        <w:t>に対する理解・啓発を推進します。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numPr>
          <w:ilvl w:val="0"/>
          <w:numId w:val="23"/>
        </w:numPr>
        <w:autoSpaceDE w:val="0"/>
        <w:autoSpaceDN w:val="0"/>
        <w:adjustRightInd w:val="0"/>
        <w:spacing w:line="360" w:lineRule="exact"/>
        <w:jc w:val="left"/>
        <w:rPr>
          <w:rFonts w:hint="default"/>
          <w:spacing w:val="-4"/>
          <w:kern w:val="0"/>
        </w:rPr>
      </w:pPr>
      <w:r>
        <w:rPr>
          <w:rFonts w:hint="eastAsia"/>
          <w:spacing w:val="-4"/>
          <w:kern w:val="0"/>
        </w:rPr>
        <w:t>県民誰もが手話</w:t>
      </w:r>
      <w:r>
        <w:rPr>
          <w:rFonts w:hint="eastAsia"/>
          <w:color w:val="000000" w:themeColor="text1"/>
          <w:spacing w:val="-4"/>
          <w:kern w:val="0"/>
          <w:vertAlign w:val="superscript"/>
        </w:rPr>
        <w:t>＊</w:t>
      </w:r>
      <w:r>
        <w:rPr>
          <w:rFonts w:hint="eastAsia"/>
          <w:spacing w:val="-4"/>
          <w:kern w:val="0"/>
        </w:rPr>
        <w:t>で簡単なあいさつができることを目指す「手話であいさつを」運動を進めるほか、</w:t>
      </w:r>
      <w:r>
        <w:rPr>
          <w:rFonts w:hint="eastAsia"/>
          <w:spacing w:val="-4"/>
          <w:kern w:val="0"/>
          <w:u w:val="none" w:color="auto"/>
        </w:rPr>
        <w:t>学校における手話体験教室</w:t>
      </w:r>
      <w:r>
        <w:rPr>
          <w:rFonts w:hint="eastAsia"/>
          <w:spacing w:val="-4"/>
          <w:kern w:val="0"/>
        </w:rPr>
        <w:t>や民間事業所・団体が開催する手話講習会に講師を派遣して手話の普及に取り組みます。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23"/>
        </w:numPr>
        <w:autoSpaceDE w:val="0"/>
        <w:autoSpaceDN w:val="0"/>
        <w:adjustRightInd w:val="0"/>
        <w:spacing w:line="360" w:lineRule="exact"/>
        <w:jc w:val="left"/>
        <w:rPr>
          <w:rFonts w:hint="default"/>
          <w:spacing w:val="-4"/>
          <w:kern w:val="0"/>
        </w:rPr>
      </w:pPr>
      <w:r>
        <w:rPr>
          <w:rFonts w:hint="eastAsia"/>
          <w:spacing w:val="-4"/>
          <w:kern w:val="0"/>
        </w:rPr>
        <w:t>すべての人が利用しやすいホームページを目指して、「ウェブアクセシビリティ方針</w:t>
      </w:r>
      <w:r>
        <w:rPr>
          <w:rFonts w:hint="eastAsia"/>
          <w:color w:val="000000" w:themeColor="text1"/>
          <w:spacing w:val="-4"/>
          <w:kern w:val="0"/>
          <w:vertAlign w:val="superscript"/>
        </w:rPr>
        <w:t>＊</w:t>
      </w:r>
      <w:r>
        <w:rPr>
          <w:rFonts w:hint="eastAsia"/>
          <w:spacing w:val="-4"/>
          <w:kern w:val="0"/>
        </w:rPr>
        <w:t>」を定め、県ホームページのアクセシビリティ適合試験を行うなど、アクセシビリティを向上させます。</w:t>
      </w:r>
      <w:r>
        <w:rPr>
          <w:rFonts w:hint="eastAsia"/>
          <w:spacing w:val="-4"/>
          <w:kern w:val="0"/>
          <w:sz w:val="16"/>
        </w:rPr>
        <w:t>[</w:t>
      </w:r>
      <w:r>
        <w:rPr>
          <w:rFonts w:hint="eastAsia"/>
          <w:spacing w:val="-4"/>
          <w:kern w:val="0"/>
          <w:sz w:val="16"/>
        </w:rPr>
        <w:t>知事直轄組織知事戦略局</w:t>
      </w:r>
      <w:r>
        <w:rPr>
          <w:rFonts w:hint="eastAsia"/>
          <w:spacing w:val="-4"/>
          <w:kern w:val="0"/>
          <w:sz w:val="16"/>
        </w:rPr>
        <w:t>]</w:t>
      </w:r>
      <w:r>
        <w:rPr>
          <w:rFonts w:hint="eastAsia"/>
          <w:spacing w:val="-4"/>
          <w:kern w:val="0"/>
          <w:sz w:val="16"/>
        </w:rPr>
        <w:t>、［知事直轄組織デジタル戦略局］</w:t>
      </w:r>
      <w:r>
        <w:rPr>
          <w:rFonts w:hint="eastAsia"/>
          <w:spacing w:val="-4"/>
          <w:kern w:val="0"/>
          <w:sz w:val="16"/>
        </w:rPr>
        <w:t xml:space="preserve"> </w:t>
      </w:r>
    </w:p>
    <w:p>
      <w:pPr>
        <w:pStyle w:val="0"/>
        <w:autoSpaceDE w:val="0"/>
        <w:autoSpaceDN w:val="0"/>
        <w:adjustRightInd w:val="0"/>
        <w:spacing w:line="360" w:lineRule="exact"/>
        <w:ind w:left="868"/>
        <w:jc w:val="left"/>
        <w:rPr>
          <w:rFonts w:hint="default"/>
          <w:spacing w:val="-4"/>
          <w:kern w:val="0"/>
        </w:rPr>
      </w:pPr>
    </w:p>
    <w:p>
      <w:pPr>
        <w:pStyle w:val="0"/>
        <w:numPr>
          <w:ilvl w:val="0"/>
          <w:numId w:val="23"/>
        </w:numPr>
        <w:autoSpaceDE w:val="0"/>
        <w:autoSpaceDN w:val="0"/>
        <w:adjustRightInd w:val="0"/>
        <w:spacing w:line="360" w:lineRule="exact"/>
        <w:jc w:val="left"/>
        <w:rPr>
          <w:rFonts w:hint="default"/>
          <w:spacing w:val="-4"/>
          <w:kern w:val="0"/>
        </w:rPr>
      </w:pPr>
      <w:r>
        <w:rPr>
          <w:rFonts w:hint="eastAsia"/>
          <w:kern w:val="0"/>
        </w:rPr>
        <w:t>県の「ウェブアクセシビリティ方針」を踏まえ、障害のある人が見やすい配色や音声等に配慮したホームページを作成し、保健・福祉関係の情報をインターネット等で提供します。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23"/>
        </w:numPr>
        <w:autoSpaceDE w:val="0"/>
        <w:autoSpaceDN w:val="0"/>
        <w:adjustRightInd w:val="0"/>
        <w:spacing w:line="360" w:lineRule="exact"/>
        <w:jc w:val="left"/>
        <w:rPr>
          <w:rFonts w:hint="default"/>
          <w:spacing w:val="-4"/>
          <w:kern w:val="0"/>
        </w:rPr>
      </w:pPr>
      <w:r>
        <w:rPr>
          <w:rFonts w:hint="eastAsia"/>
          <w:kern w:val="0"/>
        </w:rPr>
        <w:t>障害のある人が利用しやすい観光施設や宿泊施設などの観光情報をインターネット等で提供します。</w:t>
      </w:r>
      <w:r>
        <w:rPr>
          <w:rFonts w:hint="eastAsia"/>
          <w:spacing w:val="-4"/>
          <w:kern w:val="0"/>
          <w:sz w:val="16"/>
        </w:rPr>
        <w:t>[</w:t>
      </w:r>
      <w:r>
        <w:rPr>
          <w:rFonts w:hint="eastAsia"/>
          <w:spacing w:val="-4"/>
          <w:kern w:val="0"/>
          <w:sz w:val="16"/>
        </w:rPr>
        <w:t>スポーツ・</w:t>
      </w:r>
      <w:r>
        <w:rPr>
          <w:rFonts w:hint="eastAsia"/>
          <w:kern w:val="0"/>
          <w:sz w:val="16"/>
        </w:rPr>
        <w:t>文化観光部</w:t>
      </w:r>
      <w:r>
        <w:rPr>
          <w:rFonts w:hint="eastAsia"/>
          <w:spacing w:val="-4"/>
          <w:kern w:val="0"/>
          <w:sz w:val="16"/>
        </w:rPr>
        <w:t>観光交流局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23"/>
        </w:numPr>
        <w:autoSpaceDE w:val="0"/>
        <w:autoSpaceDN w:val="0"/>
        <w:adjustRightInd w:val="0"/>
        <w:spacing w:line="360" w:lineRule="exact"/>
        <w:jc w:val="left"/>
        <w:rPr>
          <w:rFonts w:hint="default"/>
          <w:spacing w:val="-4"/>
          <w:kern w:val="0"/>
        </w:rPr>
      </w:pPr>
      <w:r>
        <w:rPr>
          <w:rFonts w:hint="eastAsia"/>
          <w:kern w:val="0"/>
        </w:rPr>
        <w:t>知事記者会見への手話通訳導入や、「県民だより」の点字版・音声版の作成、動画への字幕挿入などにより、県政の話題や施策に関する情報を提供します。</w:t>
      </w:r>
      <w:r>
        <w:rPr>
          <w:rFonts w:hint="eastAsia"/>
          <w:spacing w:val="-4"/>
          <w:kern w:val="0"/>
          <w:sz w:val="16"/>
        </w:rPr>
        <w:t>[</w:t>
      </w:r>
      <w:r>
        <w:rPr>
          <w:rFonts w:hint="eastAsia"/>
          <w:spacing w:val="-4"/>
          <w:kern w:val="0"/>
          <w:sz w:val="16"/>
        </w:rPr>
        <w:t>知事直轄組織知事戦略局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23"/>
        </w:numPr>
        <w:autoSpaceDE w:val="0"/>
        <w:autoSpaceDN w:val="0"/>
        <w:adjustRightInd w:val="0"/>
        <w:spacing w:line="360" w:lineRule="exact"/>
        <w:jc w:val="left"/>
        <w:rPr>
          <w:rFonts w:hint="default"/>
          <w:spacing w:val="-4"/>
          <w:kern w:val="0"/>
        </w:rPr>
      </w:pPr>
      <w:r>
        <w:rPr>
          <w:rFonts w:hint="eastAsia"/>
          <w:kern w:val="0"/>
        </w:rPr>
        <w:t>障害のある人が、県議会の活動状況を知り、県議会への理解を深められるよう、「県議会だより」の点字版・音声版を発行するとともに、音声版を県議会ホームページへ掲載するほか、県議会ホームページでの本会議インターネット生中継・録画中継映像に手話通訳映像を挿入して配信します。</w:t>
      </w:r>
      <w:r>
        <w:rPr>
          <w:rFonts w:hint="eastAsia"/>
          <w:spacing w:val="-4"/>
          <w:kern w:val="0"/>
          <w:sz w:val="16"/>
        </w:rPr>
        <w:t>[</w:t>
      </w:r>
      <w:r>
        <w:rPr>
          <w:rFonts w:hint="eastAsia"/>
          <w:spacing w:val="-4"/>
          <w:kern w:val="0"/>
          <w:sz w:val="16"/>
        </w:rPr>
        <w:t>議会事務局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rPr>
          <w:rFonts w:hint="default"/>
        </w:rPr>
      </w:pPr>
      <w:r>
        <w:rPr>
          <w:rFonts w:hint="eastAsia" w:ascii="ＭＳ ゴシック" w:hAnsi="ＭＳ ゴシック" w:eastAsia="ＭＳ ゴシック"/>
        </w:rPr>
        <w:t>【数値目標】</w:t>
      </w:r>
    </w:p>
    <w:tbl>
      <w:tblPr>
        <w:tblStyle w:val="11"/>
        <w:tblW w:w="5001" w:type="pct"/>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40"/>
        <w:gridCol w:w="4481"/>
        <w:gridCol w:w="2565"/>
        <w:gridCol w:w="2257"/>
      </w:tblGrid>
      <w:tr>
        <w:trPr>
          <w:trHeight w:val="278" w:hRule="atLeast"/>
        </w:trPr>
        <w:tc>
          <w:tcPr>
            <w:tcW w:w="44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p>
        </w:tc>
        <w:tc>
          <w:tcPr>
            <w:tcW w:w="448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56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257" w:type="dxa"/>
            <w:vAlign w:val="center"/>
          </w:tcPr>
          <w:p>
            <w:pPr>
              <w:pStyle w:val="0"/>
              <w:spacing w:line="360" w:lineRule="exact"/>
              <w:jc w:val="center"/>
              <w:rPr>
                <w:rFonts w:hint="default"/>
              </w:rPr>
            </w:pPr>
            <w:r>
              <w:rPr>
                <w:rFonts w:hint="eastAsia"/>
              </w:rPr>
              <w:t>目標値</w:t>
            </w:r>
          </w:p>
        </w:tc>
      </w:tr>
      <w:tr>
        <w:trPr>
          <w:trHeight w:val="510" w:hRule="atLeast"/>
        </w:trPr>
        <w:tc>
          <w:tcPr>
            <w:tcW w:w="44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１</w:t>
            </w:r>
          </w:p>
        </w:tc>
        <w:tc>
          <w:tcPr>
            <w:tcW w:w="448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手話通訳者</w:t>
            </w:r>
            <w:r>
              <w:rPr>
                <w:rFonts w:hint="eastAsia"/>
                <w:color w:val="000000" w:themeColor="text1"/>
                <w:spacing w:val="-4"/>
                <w:kern w:val="0"/>
                <w:vertAlign w:val="superscript"/>
              </w:rPr>
              <w:t>＊</w:t>
            </w:r>
            <w:r>
              <w:rPr>
                <w:rFonts w:hint="eastAsia"/>
              </w:rPr>
              <w:t>養成研修修了者</w:t>
            </w:r>
          </w:p>
        </w:tc>
        <w:tc>
          <w:tcPr>
            <w:tcW w:w="256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2016</w:t>
            </w:r>
            <w:r>
              <w:rPr>
                <w:rFonts w:hint="eastAsia"/>
              </w:rPr>
              <w:t>～</w:t>
            </w:r>
            <w:r>
              <w:rPr>
                <w:rFonts w:hint="eastAsia"/>
              </w:rPr>
              <w:t>2020</w:t>
            </w:r>
            <w:r>
              <w:rPr>
                <w:rFonts w:hint="eastAsia"/>
              </w:rPr>
              <w:t>年度）</w:t>
            </w:r>
          </w:p>
          <w:p>
            <w:pPr>
              <w:pStyle w:val="0"/>
              <w:spacing w:line="360" w:lineRule="exact"/>
              <w:jc w:val="center"/>
              <w:rPr>
                <w:rFonts w:hint="default"/>
              </w:rPr>
            </w:pPr>
            <w:r>
              <w:rPr>
                <w:rFonts w:hint="eastAsia"/>
              </w:rPr>
              <w:t>平均</w:t>
            </w:r>
            <w:r>
              <w:rPr>
                <w:rFonts w:hint="eastAsia"/>
              </w:rPr>
              <w:t>29.8</w:t>
            </w:r>
            <w:r>
              <w:rPr>
                <w:rFonts w:hint="eastAsia"/>
              </w:rPr>
              <w:t>人</w:t>
            </w:r>
          </w:p>
        </w:tc>
        <w:tc>
          <w:tcPr>
            <w:tcW w:w="2257" w:type="dxa"/>
            <w:vAlign w:val="center"/>
          </w:tcPr>
          <w:p>
            <w:pPr>
              <w:pStyle w:val="0"/>
              <w:spacing w:line="360" w:lineRule="exact"/>
              <w:jc w:val="center"/>
              <w:rPr>
                <w:rFonts w:hint="default"/>
                <w:w w:val="100"/>
              </w:rPr>
            </w:pPr>
            <w:r>
              <w:rPr>
                <w:rFonts w:hint="eastAsia"/>
                <w:w w:val="100"/>
              </w:rPr>
              <w:t>(</w:t>
            </w:r>
            <w:r>
              <w:rPr>
                <w:rFonts w:hint="default"/>
                <w:w w:val="100"/>
              </w:rPr>
              <w:t>2022</w:t>
            </w:r>
            <w:r>
              <w:rPr>
                <w:rFonts w:hint="default"/>
                <w:w w:val="100"/>
              </w:rPr>
              <w:t>～</w:t>
            </w:r>
            <w:r>
              <w:rPr>
                <w:rFonts w:hint="default"/>
                <w:w w:val="100"/>
              </w:rPr>
              <w:t>2025</w:t>
            </w:r>
            <w:r>
              <w:rPr>
                <w:rFonts w:hint="default"/>
                <w:w w:val="100"/>
              </w:rPr>
              <w:t>年度</w:t>
            </w:r>
            <w:r>
              <w:rPr>
                <w:rFonts w:hint="eastAsia"/>
                <w:w w:val="100"/>
              </w:rPr>
              <w:t>)</w:t>
            </w:r>
          </w:p>
          <w:p>
            <w:pPr>
              <w:pStyle w:val="0"/>
              <w:autoSpaceDE w:val="0"/>
              <w:autoSpaceDN w:val="0"/>
              <w:adjustRightInd w:val="0"/>
              <w:spacing w:before="0" w:beforeLines="0" w:beforeAutospacing="0" w:after="0" w:afterLines="0" w:afterAutospacing="0" w:line="240" w:lineRule="auto"/>
              <w:ind w:left="0" w:firstLine="0"/>
              <w:jc w:val="center"/>
              <w:rPr>
                <w:rFonts w:hint="default"/>
              </w:rPr>
            </w:pPr>
            <w:r>
              <w:rPr>
                <w:rFonts w:hint="default" w:ascii="ＭＳ 明朝" w:hAnsi="ＭＳ 明朝" w:eastAsia="ＭＳ 明朝"/>
                <w:color w:val="000000"/>
                <w:sz w:val="24"/>
              </w:rPr>
              <w:t>累計</w:t>
            </w:r>
            <w:r>
              <w:rPr>
                <w:rFonts w:hint="default" w:ascii="ＭＳ 明朝" w:hAnsi="ＭＳ 明朝" w:eastAsia="ＭＳ 明朝"/>
                <w:color w:val="000000"/>
                <w:sz w:val="24"/>
              </w:rPr>
              <w:t>120</w:t>
            </w:r>
            <w:r>
              <w:rPr>
                <w:rFonts w:hint="default" w:ascii="ＭＳ 明朝" w:hAnsi="ＭＳ 明朝" w:eastAsia="ＭＳ 明朝"/>
                <w:color w:val="000000"/>
                <w:sz w:val="24"/>
              </w:rPr>
              <w:t>人</w:t>
            </w:r>
          </w:p>
        </w:tc>
      </w:tr>
      <w:tr>
        <w:trPr>
          <w:trHeight w:val="510" w:hRule="atLeast"/>
        </w:trPr>
        <w:tc>
          <w:tcPr>
            <w:tcW w:w="440" w:type="dxa"/>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default"/>
              </w:rPr>
            </w:pPr>
            <w:r>
              <w:rPr>
                <w:rFonts w:hint="eastAsia"/>
              </w:rPr>
              <w:t>２</w:t>
            </w:r>
          </w:p>
        </w:tc>
        <w:tc>
          <w:tcPr>
            <w:tcW w:w="448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「手話であいさつを」運動参加者数</w:t>
            </w:r>
          </w:p>
        </w:tc>
        <w:tc>
          <w:tcPr>
            <w:tcW w:w="256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2020</w:t>
            </w:r>
            <w:r>
              <w:rPr>
                <w:rFonts w:hint="eastAsia"/>
              </w:rPr>
              <w:t>年度）</w:t>
            </w:r>
          </w:p>
          <w:p>
            <w:pPr>
              <w:pStyle w:val="0"/>
              <w:spacing w:line="360" w:lineRule="exact"/>
              <w:jc w:val="center"/>
              <w:rPr>
                <w:rFonts w:hint="default"/>
              </w:rPr>
            </w:pPr>
            <w:r>
              <w:rPr>
                <w:rFonts w:hint="eastAsia"/>
              </w:rPr>
              <w:t>－</w:t>
            </w:r>
          </w:p>
        </w:tc>
        <w:tc>
          <w:tcPr>
            <w:tcW w:w="2257" w:type="dxa"/>
            <w:vAlign w:val="center"/>
          </w:tcPr>
          <w:p>
            <w:pPr>
              <w:pStyle w:val="0"/>
              <w:spacing w:line="360" w:lineRule="exact"/>
              <w:jc w:val="center"/>
              <w:rPr>
                <w:rFonts w:hint="default"/>
              </w:rPr>
            </w:pPr>
            <w:r>
              <w:rPr>
                <w:rFonts w:hint="eastAsia"/>
              </w:rPr>
              <w:t>毎年度</w:t>
            </w:r>
            <w:r>
              <w:rPr>
                <w:rFonts w:hint="eastAsia"/>
              </w:rPr>
              <w:t>2,000</w:t>
            </w:r>
            <w:r>
              <w:rPr>
                <w:rFonts w:hint="eastAsia"/>
              </w:rPr>
              <w:t>人</w:t>
            </w:r>
          </w:p>
        </w:tc>
      </w:tr>
    </w:tbl>
    <w:p>
      <w:pPr>
        <w:pStyle w:val="0"/>
        <w:rPr>
          <w:rFonts w:hint="default" w:ascii="ＭＳ ゴシック" w:hAnsi="ＭＳ ゴシック" w:eastAsia="ＭＳ ゴシック"/>
        </w:rPr>
      </w:pPr>
      <w:r>
        <w:rPr>
          <w:rFonts w:hint="eastAsia"/>
        </w:rPr>
        <w:br w:type="page"/>
      </w:r>
      <w:bookmarkStart w:id="91" w:name="_Toc503474048"/>
      <w:r>
        <w:rPr>
          <w:rFonts w:hint="eastAsia" w:ascii="ＭＳ ゴシック" w:hAnsi="ＭＳ ゴシック" w:eastAsia="ＭＳ ゴシック"/>
          <w:sz w:val="26"/>
          <w:u w:val="single" w:color="auto"/>
        </w:rPr>
        <w:t>３　障害者スポーツと文化芸術活動の振興</w:t>
      </w:r>
      <w:bookmarkEnd w:id="91"/>
    </w:p>
    <w:p>
      <w:pPr>
        <w:pStyle w:val="0"/>
        <w:outlineLvl w:val="2"/>
        <w:rPr>
          <w:rFonts w:hint="default" w:ascii="ＭＳ ゴシック" w:hAnsi="ＭＳ ゴシック" w:eastAsia="ＭＳ ゴシック"/>
        </w:rPr>
      </w:pPr>
      <w:bookmarkStart w:id="92" w:name="_Toc503474049"/>
      <w:r>
        <w:rPr>
          <w:rFonts w:hint="eastAsia" w:ascii="ＭＳ ゴシック" w:hAnsi="ＭＳ ゴシック" w:eastAsia="ＭＳ ゴシック"/>
        </w:rPr>
        <w:t>（１）障害者スポーツの振興</w:t>
      </w:r>
      <w:bookmarkEnd w:id="92"/>
    </w:p>
    <w:p>
      <w:pPr>
        <w:pStyle w:val="0"/>
        <w:rPr>
          <w:rFonts w:hint="default" w:ascii="ＭＳ ゴシック" w:hAnsi="ＭＳ ゴシック" w:eastAsia="ＭＳ ゴシック"/>
        </w:rPr>
      </w:pPr>
      <w:r>
        <w:rPr>
          <w:rFonts w:hint="eastAsia" w:ascii="ＭＳ ゴシック" w:hAnsi="ＭＳ ゴシック" w:eastAsia="ＭＳ ゴシック"/>
        </w:rPr>
        <w:t>【現状と課題】</w:t>
      </w:r>
    </w:p>
    <w:p>
      <w:pPr>
        <w:pStyle w:val="0"/>
        <w:numPr>
          <w:ilvl w:val="0"/>
          <w:numId w:val="24"/>
        </w:numPr>
        <w:spacing w:line="360" w:lineRule="exact"/>
        <w:rPr>
          <w:rFonts w:hint="default"/>
        </w:rPr>
      </w:pPr>
      <w:r>
        <w:rPr>
          <w:rFonts w:hint="eastAsia"/>
        </w:rPr>
        <w:t>スポーツ基本法では、スポーツとは「生涯にわたり心身ともに健康で文化的な生活を営む上で不可欠のもの」と位置付けられており、「障害者が自主的かつ積極的にスポーツを行うことができるよう、障害の種類及び程度に応じ必要な配慮をしつつ推進」しなければならないとされています。</w:t>
      </w:r>
    </w:p>
    <w:p>
      <w:pPr>
        <w:pStyle w:val="0"/>
        <w:spacing w:line="360" w:lineRule="exact"/>
        <w:ind w:left="576"/>
        <w:rPr>
          <w:rFonts w:hint="default"/>
        </w:rPr>
      </w:pPr>
    </w:p>
    <w:p>
      <w:pPr>
        <w:pStyle w:val="0"/>
        <w:numPr>
          <w:ilvl w:val="0"/>
          <w:numId w:val="24"/>
        </w:numPr>
        <w:spacing w:line="360" w:lineRule="exact"/>
        <w:rPr>
          <w:rFonts w:hint="default"/>
        </w:rPr>
      </w:pPr>
      <w:r>
        <w:rPr>
          <w:rFonts w:hint="eastAsia"/>
        </w:rPr>
        <w:t>障害者差別解消条例</w:t>
      </w:r>
      <w:r>
        <w:rPr>
          <w:rFonts w:hint="eastAsia"/>
          <w:vertAlign w:val="superscript"/>
        </w:rPr>
        <w:t>＊</w:t>
      </w:r>
      <w:r>
        <w:rPr>
          <w:rFonts w:hint="eastAsia"/>
        </w:rPr>
        <w:t>では、障害のある人のスポーツの振興を通じて、スポーツの機会の確保や障害のある人とない人との相互理解の促進に努めるとしています。</w:t>
      </w:r>
    </w:p>
    <w:p>
      <w:pPr>
        <w:pStyle w:val="0"/>
        <w:spacing w:line="360" w:lineRule="exact"/>
        <w:ind w:left="576"/>
        <w:rPr>
          <w:rFonts w:hint="default"/>
        </w:rPr>
      </w:pPr>
    </w:p>
    <w:p>
      <w:pPr>
        <w:pStyle w:val="0"/>
        <w:numPr>
          <w:ilvl w:val="0"/>
          <w:numId w:val="24"/>
        </w:numPr>
        <w:spacing w:line="360" w:lineRule="exact"/>
        <w:rPr>
          <w:rFonts w:hint="default"/>
        </w:rPr>
      </w:pPr>
      <w:r>
        <w:rPr>
          <w:rFonts w:hint="eastAsia"/>
        </w:rPr>
        <w:t>障害のある人が生涯を通じてスポーツに参加することは、健康維持や社会参加に大きく役立つとともに、共に支え合う共生社会の実現につながります。東京</w:t>
      </w:r>
      <w:r>
        <w:rPr>
          <w:rFonts w:hint="eastAsia"/>
        </w:rPr>
        <w:t>2020</w:t>
      </w:r>
      <w:r>
        <w:rPr>
          <w:rFonts w:hint="eastAsia"/>
        </w:rPr>
        <w:t>パラリンピック競技大会では、静岡県勢は</w:t>
      </w:r>
      <w:r>
        <w:rPr>
          <w:rFonts w:hint="eastAsia"/>
        </w:rPr>
        <w:t>11</w:t>
      </w:r>
      <w:r>
        <w:rPr>
          <w:rFonts w:hint="eastAsia"/>
        </w:rPr>
        <w:t>競技に</w:t>
      </w:r>
      <w:r>
        <w:rPr>
          <w:rFonts w:hint="eastAsia"/>
        </w:rPr>
        <w:t>15</w:t>
      </w:r>
      <w:r>
        <w:rPr>
          <w:rFonts w:hint="eastAsia"/>
        </w:rPr>
        <w:t>人が出場し、陸上、競泳、自転車、ボッチャ、車いすラグビー、男子車いすバスケットで、金メダル６個を含む計</w:t>
      </w:r>
      <w:r>
        <w:rPr>
          <w:rFonts w:hint="eastAsia"/>
        </w:rPr>
        <w:t>13</w:t>
      </w:r>
      <w:r>
        <w:rPr>
          <w:rFonts w:hint="eastAsia"/>
        </w:rPr>
        <w:t>個のメダルを獲得しました。本県ゆかりの選手の活躍により高まった障害者スポーツへの関心を一過性のもので終わらせないよう、更なる振興のための取組が必要です。</w:t>
      </w:r>
    </w:p>
    <w:p>
      <w:pPr>
        <w:pStyle w:val="0"/>
        <w:spacing w:line="360" w:lineRule="exact"/>
        <w:ind w:left="576"/>
        <w:rPr>
          <w:rFonts w:hint="default"/>
        </w:rPr>
      </w:pPr>
    </w:p>
    <w:p>
      <w:pPr>
        <w:pStyle w:val="0"/>
        <w:spacing w:line="360" w:lineRule="exact"/>
        <w:ind w:left="600" w:leftChars="100" w:hanging="360" w:hangingChars="150"/>
        <w:rPr>
          <w:rFonts w:hint="default"/>
        </w:rPr>
      </w:pPr>
      <w:r>
        <w:rPr>
          <w:rFonts w:hint="eastAsia"/>
        </w:rPr>
        <w:t>●</w:t>
      </w:r>
      <w:r>
        <w:rPr>
          <w:rFonts w:hint="eastAsia"/>
        </w:rPr>
        <w:t xml:space="preserve"> </w:t>
      </w:r>
      <w:r>
        <w:rPr>
          <w:rFonts w:hint="eastAsia"/>
        </w:rPr>
        <w:t>「障害のある方の実態調査」（</w:t>
      </w:r>
      <w:r>
        <w:rPr>
          <w:rFonts w:hint="eastAsia"/>
        </w:rPr>
        <w:t>2020</w:t>
      </w:r>
      <w:r>
        <w:rPr>
          <w:rFonts w:hint="eastAsia"/>
        </w:rPr>
        <w:t>年度）によると、最近１か月間に行った社会参加（複数回答可）として、スポーツは</w:t>
      </w:r>
      <w:r>
        <w:rPr>
          <w:rFonts w:hint="eastAsia"/>
        </w:rPr>
        <w:t>9.6</w:t>
      </w:r>
      <w:r>
        <w:rPr>
          <w:rFonts w:hint="eastAsia"/>
        </w:rPr>
        <w:t>％と前回調査（</w:t>
      </w:r>
      <w:r>
        <w:rPr>
          <w:rFonts w:hint="eastAsia"/>
        </w:rPr>
        <w:t>14.0</w:t>
      </w:r>
      <w:r>
        <w:rPr>
          <w:rFonts w:hint="eastAsia"/>
        </w:rPr>
        <w:t>％）より低くなっていますが、今後したい社会参加（複数回答）では、</w:t>
      </w:r>
      <w:r>
        <w:rPr>
          <w:rFonts w:hint="eastAsia"/>
        </w:rPr>
        <w:t>17.2</w:t>
      </w:r>
      <w:r>
        <w:rPr>
          <w:rFonts w:hint="eastAsia"/>
        </w:rPr>
        <w:t>％と前回（</w:t>
      </w:r>
      <w:r>
        <w:rPr>
          <w:rFonts w:hint="eastAsia"/>
        </w:rPr>
        <w:t>16.2</w:t>
      </w:r>
      <w:r>
        <w:rPr>
          <w:rFonts w:hint="eastAsia"/>
        </w:rPr>
        <w:t>％）とほぼ同じ割合となっています。</w:t>
      </w:r>
    </w:p>
    <w:p>
      <w:pPr>
        <w:pStyle w:val="0"/>
        <w:ind w:left="600" w:leftChars="100" w:hanging="360" w:hangingChars="150"/>
        <w:rPr>
          <w:rFonts w:hint="default"/>
        </w:rPr>
      </w:pPr>
    </w:p>
    <w:p>
      <w:pPr>
        <w:pStyle w:val="0"/>
        <w:ind w:left="600" w:leftChars="100" w:hanging="360" w:hangingChars="150"/>
        <w:rPr>
          <w:rFonts w:hint="default"/>
        </w:rPr>
      </w:pPr>
      <w:r>
        <w:rPr>
          <w:rFonts w:hint="eastAsia" w:ascii="ＭＳ ゴシック" w:hAnsi="ＭＳ ゴシック" w:eastAsia="ＭＳ ゴシック"/>
        </w:rPr>
        <w:t>【県の取組】</w:t>
      </w:r>
    </w:p>
    <w:p>
      <w:pPr>
        <w:pStyle w:val="0"/>
        <w:numPr>
          <w:ilvl w:val="0"/>
          <w:numId w:val="25"/>
        </w:numPr>
        <w:spacing w:line="360" w:lineRule="exact"/>
        <w:rPr>
          <w:rFonts w:hint="default"/>
        </w:rPr>
      </w:pPr>
      <w:r>
        <w:rPr>
          <w:rFonts w:hint="eastAsia"/>
        </w:rPr>
        <w:t>障害者スポーツ振興の中核的役割を担う、（公財）静岡県障害者スポーツ協会の活動を支援するとともに、競技団体等の関係者から意見を伺いながら、誰もが利用しやすい施設の整備・運営を進め、障害のある人もない人も共にスポーツに参加できる環境を整備し、障害者スポーツの裾野拡大を図っていきます。</w:t>
      </w:r>
      <w:r>
        <w:rPr>
          <w:rFonts w:hint="eastAsia"/>
          <w:spacing w:val="-4"/>
          <w:kern w:val="0"/>
          <w:sz w:val="16"/>
        </w:rPr>
        <w:t>[</w:t>
      </w:r>
      <w:r>
        <w:rPr>
          <w:rFonts w:hint="eastAsia"/>
          <w:spacing w:val="-4"/>
          <w:kern w:val="0"/>
          <w:sz w:val="16"/>
        </w:rPr>
        <w:t>スポーツ・文化観光部スポーツ局</w:t>
      </w:r>
      <w:r>
        <w:rPr>
          <w:rFonts w:hint="eastAsia"/>
          <w:spacing w:val="-4"/>
          <w:kern w:val="0"/>
          <w:sz w:val="16"/>
        </w:rPr>
        <w:t>]</w:t>
      </w:r>
    </w:p>
    <w:p>
      <w:pPr>
        <w:pStyle w:val="0"/>
        <w:spacing w:line="360" w:lineRule="exact"/>
        <w:ind w:left="578"/>
        <w:rPr>
          <w:rFonts w:hint="default"/>
        </w:rPr>
      </w:pPr>
    </w:p>
    <w:p>
      <w:pPr>
        <w:pStyle w:val="0"/>
        <w:numPr>
          <w:ilvl w:val="0"/>
          <w:numId w:val="25"/>
        </w:numPr>
        <w:spacing w:line="360" w:lineRule="exact"/>
        <w:rPr>
          <w:rFonts w:hint="default"/>
        </w:rPr>
      </w:pPr>
      <w:r>
        <w:rPr>
          <w:rFonts w:hint="eastAsia"/>
        </w:rPr>
        <w:t>（公財）静岡県障害者スポーツ協会と連携し、障害のある人の地域スポーツ活動が円滑に推進されるように障害者スポーツ団体の育成・振興や地域の各団体等への支援を行うとともに、多様化する障害の特性に応じて適切な指導ができるスポーツ指導員を養成・確保し、技術の指導や競技レベルの向上を図ります。</w:t>
      </w:r>
      <w:r>
        <w:rPr>
          <w:rFonts w:hint="eastAsia"/>
          <w:spacing w:val="-4"/>
          <w:kern w:val="0"/>
          <w:sz w:val="16"/>
        </w:rPr>
        <w:t>[</w:t>
      </w:r>
      <w:r>
        <w:rPr>
          <w:rFonts w:hint="eastAsia"/>
          <w:spacing w:val="-4"/>
          <w:kern w:val="0"/>
          <w:sz w:val="16"/>
        </w:rPr>
        <w:t>スポーツ・文化観光部スポーツ局</w:t>
      </w:r>
      <w:r>
        <w:rPr>
          <w:rFonts w:hint="eastAsia"/>
          <w:spacing w:val="-4"/>
          <w:kern w:val="0"/>
          <w:sz w:val="16"/>
        </w:rPr>
        <w:t>]</w:t>
      </w:r>
    </w:p>
    <w:p>
      <w:pPr>
        <w:pStyle w:val="0"/>
        <w:spacing w:line="360" w:lineRule="exact"/>
        <w:ind w:left="578"/>
        <w:rPr>
          <w:rFonts w:hint="default"/>
        </w:rPr>
      </w:pPr>
    </w:p>
    <w:p>
      <w:pPr>
        <w:pStyle w:val="0"/>
        <w:numPr>
          <w:ilvl w:val="0"/>
          <w:numId w:val="25"/>
        </w:numPr>
        <w:spacing w:line="360" w:lineRule="exact"/>
        <w:rPr>
          <w:rFonts w:hint="default"/>
        </w:rPr>
      </w:pPr>
      <w:r>
        <w:rPr>
          <w:rFonts w:hint="eastAsia"/>
        </w:rPr>
        <w:t>普及が遅れている精神障害のある人のスポーツの振興に取り組みます。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spacing w:line="360" w:lineRule="exact"/>
        <w:ind w:left="578"/>
        <w:rPr>
          <w:rFonts w:hint="default"/>
        </w:rPr>
      </w:pPr>
    </w:p>
    <w:p>
      <w:pPr>
        <w:pStyle w:val="0"/>
        <w:numPr>
          <w:ilvl w:val="0"/>
          <w:numId w:val="25"/>
        </w:numPr>
        <w:spacing w:line="360" w:lineRule="exact"/>
        <w:rPr>
          <w:rFonts w:hint="default"/>
        </w:rPr>
      </w:pPr>
      <w:r>
        <w:rPr>
          <w:rFonts w:hint="eastAsia"/>
        </w:rPr>
        <w:t>パラリンピックや国際大会等に出場するトップアスリートに対して、県障害者スポーツ協会や競技団体と連携し、強化活動を支援します。</w:t>
      </w:r>
      <w:r>
        <w:rPr>
          <w:rFonts w:hint="eastAsia"/>
          <w:spacing w:val="-4"/>
          <w:kern w:val="0"/>
          <w:sz w:val="16"/>
        </w:rPr>
        <w:t>[</w:t>
      </w:r>
      <w:r>
        <w:rPr>
          <w:rFonts w:hint="eastAsia"/>
          <w:spacing w:val="-4"/>
          <w:kern w:val="0"/>
          <w:sz w:val="16"/>
        </w:rPr>
        <w:t>スポーツ・文化観光部スポーツ局</w:t>
      </w:r>
      <w:r>
        <w:rPr>
          <w:rFonts w:hint="eastAsia"/>
          <w:spacing w:val="-4"/>
          <w:kern w:val="0"/>
          <w:sz w:val="16"/>
        </w:rPr>
        <w:t>]</w:t>
      </w:r>
    </w:p>
    <w:p>
      <w:pPr>
        <w:pStyle w:val="0"/>
        <w:numPr>
          <w:ilvl w:val="0"/>
          <w:numId w:val="25"/>
        </w:numPr>
        <w:spacing w:line="360" w:lineRule="exact"/>
        <w:rPr>
          <w:rFonts w:hint="default"/>
        </w:rPr>
      </w:pPr>
      <w:r>
        <w:rPr>
          <w:rFonts w:hint="eastAsia"/>
        </w:rPr>
        <w:t>障害のある人に対する社会の理解と認識を深め、障害のある人の自立と社会参加を促進するため、静岡県障害者スポーツ大会（わかふじスポーツ大会）を開催します。</w:t>
      </w:r>
      <w:r>
        <w:rPr>
          <w:rFonts w:hint="eastAsia"/>
          <w:spacing w:val="-4"/>
          <w:kern w:val="0"/>
          <w:sz w:val="16"/>
        </w:rPr>
        <w:t>[</w:t>
      </w:r>
      <w:r>
        <w:rPr>
          <w:rFonts w:hint="eastAsia"/>
          <w:spacing w:val="-4"/>
          <w:kern w:val="0"/>
          <w:sz w:val="16"/>
        </w:rPr>
        <w:t>スポーツ・文化観光部スポーツ局</w:t>
      </w:r>
      <w:r>
        <w:rPr>
          <w:rFonts w:hint="eastAsia"/>
          <w:spacing w:val="-4"/>
          <w:kern w:val="0"/>
          <w:sz w:val="16"/>
        </w:rPr>
        <w:t>]</w:t>
      </w:r>
    </w:p>
    <w:p>
      <w:pPr>
        <w:pStyle w:val="0"/>
        <w:spacing w:line="360" w:lineRule="exact"/>
        <w:ind w:left="578"/>
        <w:rPr>
          <w:rFonts w:hint="default"/>
        </w:rPr>
      </w:pPr>
    </w:p>
    <w:p>
      <w:pPr>
        <w:pStyle w:val="0"/>
        <w:numPr>
          <w:ilvl w:val="0"/>
          <w:numId w:val="25"/>
        </w:numPr>
        <w:spacing w:line="360" w:lineRule="exact"/>
        <w:rPr>
          <w:rFonts w:hint="default"/>
        </w:rPr>
      </w:pPr>
      <w:r>
        <w:rPr>
          <w:rFonts w:hint="eastAsia"/>
        </w:rPr>
        <w:t>障害者スポーツ応援隊を招いた講演や実技指導を開催し、障害者スポーツに取り組む人を増やします。</w:t>
      </w:r>
      <w:r>
        <w:rPr>
          <w:rFonts w:hint="eastAsia"/>
          <w:spacing w:val="-4"/>
          <w:kern w:val="0"/>
          <w:sz w:val="16"/>
        </w:rPr>
        <w:t>[</w:t>
      </w:r>
      <w:r>
        <w:rPr>
          <w:rFonts w:hint="eastAsia"/>
          <w:spacing w:val="-4"/>
          <w:kern w:val="0"/>
          <w:sz w:val="16"/>
        </w:rPr>
        <w:t>スポーツ・文化観光部スポーツ局</w:t>
      </w:r>
      <w:r>
        <w:rPr>
          <w:rFonts w:hint="eastAsia"/>
          <w:spacing w:val="-4"/>
          <w:kern w:val="0"/>
          <w:sz w:val="16"/>
        </w:rPr>
        <w:t>]</w:t>
      </w:r>
    </w:p>
    <w:p>
      <w:pPr>
        <w:pStyle w:val="0"/>
        <w:spacing w:line="360" w:lineRule="exact"/>
        <w:ind w:left="578"/>
        <w:rPr>
          <w:rFonts w:hint="default"/>
        </w:rPr>
      </w:pPr>
    </w:p>
    <w:p>
      <w:pPr>
        <w:pStyle w:val="0"/>
        <w:numPr>
          <w:ilvl w:val="0"/>
          <w:numId w:val="25"/>
        </w:numPr>
        <w:spacing w:line="360" w:lineRule="exact"/>
        <w:rPr>
          <w:rFonts w:hint="default"/>
        </w:rPr>
      </w:pPr>
      <w:r>
        <w:rPr>
          <w:rFonts w:hint="eastAsia"/>
        </w:rPr>
        <w:t>障害者スポーツを通じた社会参加の促進及び自己実現が達成できるよう、関係団体や関係者のニーズ把握をしていきます。</w:t>
      </w:r>
      <w:r>
        <w:rPr>
          <w:rFonts w:hint="eastAsia"/>
          <w:spacing w:val="-4"/>
          <w:kern w:val="0"/>
          <w:sz w:val="16"/>
        </w:rPr>
        <w:t>[</w:t>
      </w:r>
      <w:r>
        <w:rPr>
          <w:rFonts w:hint="eastAsia"/>
          <w:spacing w:val="-4"/>
          <w:kern w:val="0"/>
          <w:sz w:val="16"/>
        </w:rPr>
        <w:t>スポーツ・文化観光部スポーツ局</w:t>
      </w:r>
      <w:r>
        <w:rPr>
          <w:rFonts w:hint="eastAsia"/>
          <w:spacing w:val="-4"/>
          <w:kern w:val="0"/>
          <w:sz w:val="16"/>
        </w:rPr>
        <w:t>]</w:t>
      </w:r>
    </w:p>
    <w:p>
      <w:pPr>
        <w:pStyle w:val="0"/>
        <w:spacing w:line="360" w:lineRule="exact"/>
        <w:ind w:left="578"/>
        <w:rPr>
          <w:rFonts w:hint="default"/>
        </w:rPr>
      </w:pPr>
    </w:p>
    <w:p>
      <w:pPr>
        <w:pStyle w:val="0"/>
        <w:rPr>
          <w:rFonts w:hint="default"/>
        </w:rPr>
      </w:pPr>
      <w:r>
        <w:rPr>
          <w:rFonts w:hint="eastAsia" w:ascii="ＭＳ ゴシック" w:hAnsi="ＭＳ ゴシック" w:eastAsia="ＭＳ ゴシック"/>
        </w:rPr>
        <w:t>【数値目標】</w:t>
      </w:r>
    </w:p>
    <w:tbl>
      <w:tblPr>
        <w:tblStyle w:val="11"/>
        <w:tblW w:w="9686"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38"/>
        <w:gridCol w:w="4870"/>
        <w:gridCol w:w="2189"/>
        <w:gridCol w:w="2189"/>
      </w:tblGrid>
      <w:tr>
        <w:trPr>
          <w:trHeight w:val="258"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7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378"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dstrike w:val="1"/>
              </w:rPr>
            </w:pPr>
            <w:r>
              <w:rPr>
                <w:rFonts w:hint="eastAsia"/>
              </w:rPr>
              <w:t>１</w:t>
            </w:r>
          </w:p>
        </w:tc>
        <w:tc>
          <w:tcPr>
            <w:tcW w:w="487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自立し社会参加していると感じている障害のある人の割合</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2020</w:t>
            </w:r>
            <w:r>
              <w:rPr>
                <w:rFonts w:hint="eastAsia"/>
              </w:rPr>
              <w:t>年度）</w:t>
            </w:r>
          </w:p>
          <w:p>
            <w:pPr>
              <w:pStyle w:val="0"/>
              <w:spacing w:line="360" w:lineRule="exact"/>
              <w:jc w:val="center"/>
              <w:rPr>
                <w:rFonts w:hint="default"/>
              </w:rPr>
            </w:pPr>
            <w:r>
              <w:rPr>
                <w:rFonts w:hint="eastAsia"/>
              </w:rPr>
              <w:t>48.3</w:t>
            </w:r>
            <w:r>
              <w:rPr>
                <w:rFonts w:hint="eastAsia"/>
              </w:rPr>
              <w:t>％</w:t>
            </w:r>
          </w:p>
        </w:tc>
        <w:tc>
          <w:tcPr>
            <w:tcW w:w="2189" w:type="dxa"/>
            <w:vAlign w:val="center"/>
          </w:tcPr>
          <w:p>
            <w:pPr>
              <w:pStyle w:val="0"/>
              <w:spacing w:line="360" w:lineRule="exact"/>
              <w:jc w:val="center"/>
              <w:rPr>
                <w:rFonts w:hint="default"/>
              </w:rPr>
            </w:pPr>
            <w:r>
              <w:rPr>
                <w:rFonts w:hint="eastAsia"/>
              </w:rPr>
              <w:t>（</w:t>
            </w:r>
            <w:r>
              <w:rPr>
                <w:rFonts w:hint="eastAsia"/>
              </w:rPr>
              <w:t>2024</w:t>
            </w:r>
            <w:r>
              <w:rPr>
                <w:rFonts w:hint="eastAsia"/>
              </w:rPr>
              <w:t>年度）</w:t>
            </w:r>
          </w:p>
          <w:p>
            <w:pPr>
              <w:pStyle w:val="0"/>
              <w:spacing w:line="360" w:lineRule="exact"/>
              <w:jc w:val="center"/>
              <w:rPr>
                <w:rFonts w:hint="default"/>
              </w:rPr>
            </w:pPr>
            <w:r>
              <w:rPr>
                <w:rFonts w:hint="default"/>
              </w:rPr>
              <w:t>70</w:t>
            </w:r>
            <w:r>
              <w:rPr>
                <w:rFonts w:hint="default"/>
              </w:rPr>
              <w:t>％</w:t>
            </w:r>
          </w:p>
        </w:tc>
      </w:tr>
      <w:tr>
        <w:trPr>
          <w:trHeight w:val="378"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２</w:t>
            </w:r>
          </w:p>
        </w:tc>
        <w:tc>
          <w:tcPr>
            <w:tcW w:w="487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静岡県障害者スポーツ大会（わかふじスポーツ大会）への参加者数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2020</w:t>
            </w:r>
            <w:r>
              <w:rPr>
                <w:rFonts w:hint="eastAsia"/>
              </w:rPr>
              <w:t>年度）</w:t>
            </w:r>
          </w:p>
          <w:p>
            <w:pPr>
              <w:pStyle w:val="0"/>
              <w:spacing w:line="360" w:lineRule="exact"/>
              <w:jc w:val="center"/>
              <w:rPr>
                <w:rFonts w:hint="default"/>
              </w:rPr>
            </w:pPr>
            <w:r>
              <w:rPr>
                <w:rFonts w:hint="eastAsia"/>
              </w:rPr>
              <w:t>454</w:t>
            </w:r>
            <w:r>
              <w:rPr>
                <w:rFonts w:hint="eastAsia"/>
              </w:rPr>
              <w:t>人</w:t>
            </w:r>
          </w:p>
          <w:p>
            <w:pPr>
              <w:pStyle w:val="0"/>
              <w:spacing w:line="280" w:lineRule="exact"/>
              <w:jc w:val="center"/>
              <w:rPr>
                <w:rFonts w:hint="default"/>
              </w:rPr>
            </w:pPr>
            <w:r>
              <w:rPr>
                <w:rFonts w:hint="eastAsia"/>
                <w:sz w:val="20"/>
              </w:rPr>
              <w:t>※コロナ影響により出場者数減少</w:t>
            </w:r>
          </w:p>
        </w:tc>
        <w:tc>
          <w:tcPr>
            <w:tcW w:w="2189" w:type="dxa"/>
            <w:vAlign w:val="center"/>
          </w:tcPr>
          <w:p>
            <w:pPr>
              <w:pStyle w:val="0"/>
              <w:spacing w:line="360" w:lineRule="exact"/>
              <w:jc w:val="center"/>
              <w:rPr>
                <w:rFonts w:hint="default"/>
              </w:rPr>
            </w:pPr>
            <w:r>
              <w:rPr>
                <w:rFonts w:hint="eastAsia"/>
              </w:rPr>
              <w:t>毎年度</w:t>
            </w:r>
          </w:p>
          <w:p>
            <w:pPr>
              <w:pStyle w:val="0"/>
              <w:spacing w:line="360" w:lineRule="exact"/>
              <w:jc w:val="center"/>
              <w:rPr>
                <w:rFonts w:hint="default"/>
              </w:rPr>
            </w:pPr>
            <w:r>
              <w:rPr>
                <w:rFonts w:hint="eastAsia"/>
              </w:rPr>
              <w:t>3,000</w:t>
            </w:r>
            <w:r>
              <w:rPr>
                <w:rFonts w:hint="eastAsia"/>
              </w:rPr>
              <w:t>人</w:t>
            </w:r>
          </w:p>
        </w:tc>
      </w:tr>
    </w:tbl>
    <w:p>
      <w:pPr>
        <w:pStyle w:val="0"/>
        <w:ind w:firstLine="240" w:firstLineChars="100"/>
        <w:rPr>
          <w:rFonts w:hint="default" w:ascii="ＭＳ ゴシック" w:hAnsi="ＭＳ ゴシック" w:eastAsia="ＭＳ ゴシック"/>
        </w:rPr>
      </w:pPr>
      <w:bookmarkStart w:id="93" w:name="_Toc503474051"/>
    </w:p>
    <w:p>
      <w:pPr>
        <w:pStyle w:val="0"/>
        <w:ind w:firstLine="240" w:firstLineChars="100"/>
        <w:rPr>
          <w:rFonts w:hint="default" w:ascii="ＭＳ ゴシック" w:hAnsi="ＭＳ ゴシック" w:eastAsia="ＭＳ ゴシック"/>
        </w:rPr>
      </w:pPr>
      <w:r>
        <w:rPr>
          <w:rFonts w:hint="eastAsia" w:ascii="ＭＳ ゴシック" w:hAnsi="ＭＳ ゴシック" w:eastAsia="ＭＳ ゴシック"/>
        </w:rPr>
        <w:t>（２</w:t>
      </w:r>
      <w:r>
        <w:rPr>
          <w:rFonts w:hint="eastAsia" w:ascii="ＭＳ ゴシック" w:hAnsi="ＭＳ ゴシック" w:eastAsia="ＭＳ ゴシック"/>
        </w:rPr>
        <w:t>)</w:t>
      </w:r>
      <w:r>
        <w:rPr>
          <w:rFonts w:hint="eastAsia" w:ascii="ＭＳ ゴシック" w:hAnsi="ＭＳ ゴシック" w:eastAsia="ＭＳ ゴシック"/>
        </w:rPr>
        <w:t>文化芸術活動の振興</w:t>
      </w:r>
      <w:bookmarkEnd w:id="93"/>
    </w:p>
    <w:p>
      <w:pPr>
        <w:pStyle w:val="0"/>
        <w:rPr>
          <w:rFonts w:hint="default"/>
        </w:rPr>
      </w:pPr>
      <w:r>
        <w:rPr>
          <w:rFonts w:hint="eastAsia" w:ascii="ＭＳ ゴシック" w:hAnsi="ＭＳ ゴシック" w:eastAsia="ＭＳ ゴシック"/>
        </w:rPr>
        <w:t>【現状と課題】</w:t>
      </w:r>
    </w:p>
    <w:p>
      <w:pPr>
        <w:pStyle w:val="0"/>
        <w:numPr>
          <w:ilvl w:val="0"/>
          <w:numId w:val="26"/>
        </w:numPr>
        <w:autoSpaceDE w:val="0"/>
        <w:autoSpaceDN w:val="0"/>
        <w:adjustRightInd w:val="0"/>
        <w:spacing w:line="360" w:lineRule="exact"/>
        <w:jc w:val="left"/>
        <w:rPr>
          <w:rFonts w:hint="default"/>
        </w:rPr>
      </w:pPr>
      <w:r>
        <w:rPr>
          <w:rFonts w:hint="eastAsia"/>
        </w:rPr>
        <w:t>障害者文化芸術活動推進法では、文化芸術は、「これを創造・享受する者の障害の有無にかかわらず、心の豊かさや相互理解をもたらすもの」とされており、芸術家を目指す人から日常の楽しみとして行う人まで、幅広い障害のある人のニーズや多様な特性に応じた環境づくりを行う必要があります。</w:t>
      </w:r>
    </w:p>
    <w:p>
      <w:pPr>
        <w:pStyle w:val="0"/>
        <w:autoSpaceDE w:val="0"/>
        <w:autoSpaceDN w:val="0"/>
        <w:adjustRightInd w:val="0"/>
        <w:spacing w:line="360" w:lineRule="exact"/>
        <w:ind w:left="576"/>
        <w:jc w:val="left"/>
        <w:rPr>
          <w:rFonts w:hint="default"/>
        </w:rPr>
      </w:pPr>
    </w:p>
    <w:p>
      <w:pPr>
        <w:pStyle w:val="0"/>
        <w:numPr>
          <w:ilvl w:val="0"/>
          <w:numId w:val="26"/>
        </w:numPr>
        <w:autoSpaceDE w:val="0"/>
        <w:autoSpaceDN w:val="0"/>
        <w:adjustRightInd w:val="0"/>
        <w:spacing w:line="360" w:lineRule="exact"/>
        <w:jc w:val="left"/>
        <w:rPr>
          <w:rFonts w:hint="default"/>
        </w:rPr>
      </w:pPr>
      <w:r>
        <w:rPr>
          <w:rFonts w:hint="eastAsia"/>
        </w:rPr>
        <w:t>障害者差別解消条例</w:t>
      </w:r>
      <w:r>
        <w:rPr>
          <w:rFonts w:hint="eastAsia"/>
          <w:vertAlign w:val="superscript"/>
        </w:rPr>
        <w:t>＊</w:t>
      </w:r>
      <w:r>
        <w:rPr>
          <w:rFonts w:hint="eastAsia"/>
        </w:rPr>
        <w:t>では、障害のある人の文化芸術活動の振興を通じて、文化芸術活動の機会の確保や障害のある人とない人との相互理解の促進に努めるとしています。</w:t>
      </w:r>
    </w:p>
    <w:p>
      <w:pPr>
        <w:pStyle w:val="0"/>
        <w:autoSpaceDE w:val="0"/>
        <w:autoSpaceDN w:val="0"/>
        <w:adjustRightInd w:val="0"/>
        <w:spacing w:line="360" w:lineRule="exact"/>
        <w:ind w:left="576"/>
        <w:jc w:val="left"/>
        <w:rPr>
          <w:rFonts w:hint="default"/>
        </w:rPr>
      </w:pPr>
    </w:p>
    <w:p>
      <w:pPr>
        <w:pStyle w:val="0"/>
        <w:numPr>
          <w:ilvl w:val="0"/>
          <w:numId w:val="26"/>
        </w:numPr>
        <w:autoSpaceDE w:val="0"/>
        <w:autoSpaceDN w:val="0"/>
        <w:adjustRightInd w:val="0"/>
        <w:spacing w:line="360" w:lineRule="exact"/>
        <w:jc w:val="left"/>
        <w:rPr>
          <w:rFonts w:hint="default"/>
          <w:strike w:val="0"/>
          <w:dstrike w:val="0"/>
        </w:rPr>
      </w:pPr>
      <w:r>
        <w:rPr>
          <w:rFonts w:hint="eastAsia"/>
          <w:kern w:val="0"/>
        </w:rPr>
        <w:t>「障害のある方の実態調査」（</w:t>
      </w:r>
      <w:r>
        <w:rPr>
          <w:rFonts w:hint="eastAsia"/>
          <w:kern w:val="0"/>
        </w:rPr>
        <w:t>2020</w:t>
      </w:r>
      <w:r>
        <w:rPr>
          <w:rFonts w:hint="eastAsia"/>
          <w:kern w:val="0"/>
        </w:rPr>
        <w:t>年度）によると、最近１か月間に行った社会参加（複数回答可）として、文化・芸術活動は</w:t>
      </w:r>
      <w:r>
        <w:rPr>
          <w:rFonts w:hint="eastAsia"/>
        </w:rPr>
        <w:t>10.4</w:t>
      </w:r>
      <w:r>
        <w:rPr>
          <w:rFonts w:hint="eastAsia"/>
        </w:rPr>
        <w:t>％と前回調査（</w:t>
      </w:r>
      <w:r>
        <w:rPr>
          <w:rFonts w:hint="eastAsia"/>
        </w:rPr>
        <w:t>15.5</w:t>
      </w:r>
      <w:r>
        <w:rPr>
          <w:rFonts w:hint="eastAsia"/>
        </w:rPr>
        <w:t>％）より低くなっていますが、今</w:t>
      </w:r>
      <w:r>
        <w:rPr>
          <w:rFonts w:hint="eastAsia"/>
          <w:kern w:val="0"/>
        </w:rPr>
        <w:t>後したい社会参加（複数回答可）では、</w:t>
      </w:r>
      <w:r>
        <w:rPr>
          <w:rFonts w:hint="eastAsia"/>
          <w:kern w:val="0"/>
        </w:rPr>
        <w:t>20.2</w:t>
      </w:r>
      <w:r>
        <w:rPr>
          <w:rFonts w:hint="eastAsia"/>
          <w:kern w:val="0"/>
        </w:rPr>
        <w:t>％と前回（</w:t>
      </w:r>
      <w:r>
        <w:rPr>
          <w:rFonts w:hint="eastAsia"/>
          <w:kern w:val="0"/>
        </w:rPr>
        <w:t>18.2</w:t>
      </w:r>
      <w:r>
        <w:rPr>
          <w:rFonts w:hint="eastAsia"/>
          <w:kern w:val="0"/>
        </w:rPr>
        <w:t>％）よりも高い割合となっています。</w:t>
      </w:r>
    </w:p>
    <w:p>
      <w:pPr>
        <w:pStyle w:val="0"/>
        <w:autoSpaceDE w:val="0"/>
        <w:autoSpaceDN w:val="0"/>
        <w:adjustRightInd w:val="0"/>
        <w:spacing w:line="360" w:lineRule="exact"/>
        <w:ind w:left="576"/>
        <w:jc w:val="left"/>
        <w:rPr>
          <w:rFonts w:hint="default"/>
          <w:dstrike w:val="1"/>
        </w:rPr>
      </w:pPr>
    </w:p>
    <w:p>
      <w:pPr>
        <w:pStyle w:val="0"/>
        <w:numPr>
          <w:ilvl w:val="0"/>
          <w:numId w:val="10"/>
        </w:numPr>
        <w:autoSpaceDE w:val="0"/>
        <w:autoSpaceDN w:val="0"/>
        <w:adjustRightInd w:val="0"/>
        <w:spacing w:line="360" w:lineRule="exact"/>
        <w:jc w:val="left"/>
        <w:rPr>
          <w:rFonts w:hint="default"/>
        </w:rPr>
      </w:pPr>
      <w:r>
        <w:rPr>
          <w:rFonts w:hint="eastAsia"/>
        </w:rPr>
        <w:t>文化芸術活動に取り組む障害のある人や、その支援者等を支援するために、平成</w:t>
      </w:r>
      <w:r>
        <w:rPr>
          <w:rFonts w:hint="eastAsia"/>
        </w:rPr>
        <w:t>30</w:t>
      </w:r>
      <w:r>
        <w:rPr>
          <w:rFonts w:hint="eastAsia"/>
        </w:rPr>
        <w:t>年度に開設した静岡県障害者文化芸術活動支援センター「みらーと」の積極的な事業展開が求められています。</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【県の取組】</w:t>
      </w:r>
    </w:p>
    <w:p>
      <w:pPr>
        <w:pStyle w:val="0"/>
        <w:numPr>
          <w:ilvl w:val="0"/>
          <w:numId w:val="27"/>
        </w:numPr>
        <w:spacing w:line="360" w:lineRule="exact"/>
        <w:rPr>
          <w:rFonts w:hint="default"/>
        </w:rPr>
      </w:pPr>
      <w:r>
        <w:rPr>
          <w:rFonts w:hint="eastAsia" w:ascii="ＭＳ 明朝" w:hAnsi="ＭＳ 明朝" w:eastAsia="ＭＳ 明朝"/>
          <w:color w:val="auto"/>
          <w:sz w:val="24"/>
        </w:rPr>
        <w:t>障害のある人が文化芸術に親しむ</w:t>
      </w:r>
      <w:r>
        <w:rPr>
          <w:rFonts w:hint="eastAsia" w:ascii="ＭＳ 明朝" w:hAnsi="ＭＳ 明朝" w:eastAsia="ＭＳ 明朝"/>
          <w:strike w:val="0"/>
          <w:dstrike w:val="0"/>
          <w:color w:val="auto"/>
          <w:sz w:val="24"/>
        </w:rPr>
        <w:t>ことができる</w:t>
      </w:r>
      <w:r>
        <w:rPr>
          <w:rFonts w:hint="eastAsia" w:ascii="ＭＳ 明朝" w:hAnsi="ＭＳ 明朝" w:eastAsia="ＭＳ 明朝"/>
          <w:color w:val="auto"/>
          <w:sz w:val="24"/>
        </w:rPr>
        <w:t>よう、</w:t>
      </w:r>
      <w:r>
        <w:rPr>
          <w:rFonts w:hint="eastAsia" w:ascii="ＭＳ 明朝" w:hAnsi="ＭＳ 明朝" w:eastAsia="ＭＳ 明朝"/>
          <w:strike w:val="0"/>
          <w:dstrike w:val="0"/>
          <w:color w:val="auto"/>
          <w:sz w:val="24"/>
        </w:rPr>
        <w:t>文化施設等において、障害のある人に配慮した多様</w:t>
      </w:r>
      <w:r>
        <w:rPr>
          <w:rFonts w:hint="eastAsia" w:ascii="ＭＳ 明朝" w:hAnsi="ＭＳ 明朝" w:eastAsia="ＭＳ 明朝"/>
          <w:color w:val="auto"/>
          <w:sz w:val="24"/>
        </w:rPr>
        <w:t>な</w:t>
      </w:r>
      <w:r>
        <w:rPr>
          <w:rFonts w:hint="eastAsia" w:ascii="ＭＳ 明朝" w:hAnsi="ＭＳ 明朝" w:eastAsia="ＭＳ 明朝"/>
          <w:strike w:val="0"/>
          <w:dstrike w:val="0"/>
          <w:color w:val="auto"/>
          <w:sz w:val="24"/>
        </w:rPr>
        <w:t>展示</w:t>
      </w:r>
      <w:r>
        <w:rPr>
          <w:rFonts w:hint="eastAsia" w:ascii="ＭＳ 明朝" w:hAnsi="ＭＳ 明朝" w:eastAsia="ＭＳ 明朝"/>
          <w:b w:val="0"/>
          <w:strike w:val="0"/>
          <w:dstrike w:val="0"/>
          <w:color w:val="auto"/>
          <w:highlight w:val="none"/>
          <w:u w:val="none" w:color="auto"/>
        </w:rPr>
        <w:t>方法</w:t>
      </w:r>
      <w:r>
        <w:rPr>
          <w:rFonts w:hint="eastAsia" w:ascii="ＭＳ 明朝" w:hAnsi="ＭＳ 明朝" w:eastAsia="ＭＳ 明朝"/>
          <w:color w:val="auto"/>
          <w:sz w:val="24"/>
        </w:rPr>
        <w:t>や、舞台発表、ワークショップ等の取組を進めます。</w:t>
      </w:r>
      <w:r>
        <w:rPr>
          <w:rFonts w:hint="eastAsia"/>
          <w:sz w:val="16"/>
        </w:rPr>
        <w:t>[</w:t>
      </w:r>
      <w:r>
        <w:rPr>
          <w:rFonts w:hint="eastAsia"/>
          <w:sz w:val="16"/>
        </w:rPr>
        <w:t>スポーツ・文化観光部文化局</w:t>
      </w:r>
      <w:r>
        <w:rPr>
          <w:rFonts w:hint="eastAsia"/>
          <w:sz w:val="16"/>
        </w:rPr>
        <w:t>]</w:t>
      </w:r>
    </w:p>
    <w:p>
      <w:pPr>
        <w:pStyle w:val="0"/>
        <w:spacing w:line="360" w:lineRule="exact"/>
        <w:ind w:left="578"/>
        <w:rPr>
          <w:rFonts w:hint="default"/>
        </w:rPr>
      </w:pPr>
    </w:p>
    <w:p>
      <w:pPr>
        <w:pStyle w:val="0"/>
        <w:numPr>
          <w:ilvl w:val="0"/>
          <w:numId w:val="27"/>
        </w:numPr>
        <w:spacing w:line="360" w:lineRule="exact"/>
        <w:rPr>
          <w:rFonts w:hint="default"/>
        </w:rPr>
      </w:pPr>
      <w:r>
        <w:rPr>
          <w:rFonts w:hint="eastAsia" w:ascii="ＭＳ 明朝" w:hAnsi="ＭＳ 明朝" w:eastAsia="ＭＳ 明朝"/>
          <w:color w:val="auto"/>
          <w:highlight w:val="none"/>
          <w:u w:val="none" w:color="auto"/>
        </w:rPr>
        <w:t>県民の文化芸術活動に参加する機会の充実と、相互理解の促進による共生社会</w:t>
      </w:r>
      <w:r>
        <w:rPr>
          <w:rFonts w:hint="eastAsia" w:ascii="ＭＳ 明朝" w:hAnsi="ＭＳ 明朝" w:eastAsia="ＭＳ 明朝"/>
          <w:b w:val="0"/>
          <w:color w:val="auto"/>
          <w:highlight w:val="none"/>
          <w:u w:val="none" w:color="auto"/>
        </w:rPr>
        <w:t>を</w:t>
      </w:r>
      <w:r>
        <w:rPr>
          <w:rFonts w:hint="eastAsia" w:ascii="ＭＳ 明朝" w:hAnsi="ＭＳ 明朝" w:eastAsia="ＭＳ 明朝"/>
          <w:color w:val="auto"/>
          <w:highlight w:val="none"/>
          <w:u w:val="none" w:color="auto"/>
        </w:rPr>
        <w:t>実現するため、県文化協会及び障害者福祉団体等との連携により、</w:t>
      </w:r>
      <w:r>
        <w:rPr>
          <w:rFonts w:hint="eastAsia" w:ascii="ＭＳ 明朝" w:hAnsi="ＭＳ 明朝" w:eastAsia="ＭＳ 明朝"/>
          <w:strike w:val="0"/>
          <w:dstrike w:val="0"/>
          <w:color w:val="auto"/>
          <w:highlight w:val="none"/>
          <w:u w:val="none" w:color="auto"/>
        </w:rPr>
        <w:t>「ふじのくに芸術祭」と「障害者芸術祭」</w:t>
      </w:r>
      <w:r>
        <w:rPr>
          <w:rFonts w:hint="eastAsia" w:ascii="ＭＳ 明朝" w:hAnsi="ＭＳ 明朝" w:eastAsia="ＭＳ 明朝"/>
          <w:color w:val="auto"/>
          <w:highlight w:val="none"/>
          <w:u w:val="none" w:color="auto"/>
        </w:rPr>
        <w:t>を一体化して開催</w:t>
      </w:r>
      <w:r>
        <w:rPr>
          <w:rFonts w:hint="eastAsia" w:ascii="ＭＳ 明朝" w:hAnsi="ＭＳ 明朝" w:eastAsia="ＭＳ 明朝"/>
          <w:color w:val="auto"/>
          <w:u w:val="none" w:color="auto"/>
        </w:rPr>
        <w:t>します。</w:t>
      </w:r>
      <w:r>
        <w:rPr>
          <w:rFonts w:hint="eastAsia"/>
          <w:sz w:val="16"/>
        </w:rPr>
        <w:t>[</w:t>
      </w:r>
      <w:r>
        <w:rPr>
          <w:rFonts w:hint="eastAsia"/>
          <w:sz w:val="16"/>
        </w:rPr>
        <w:t>スポーツ・文化観光部文化局</w:t>
      </w:r>
      <w:r>
        <w:rPr>
          <w:rFonts w:hint="eastAsia"/>
          <w:sz w:val="16"/>
        </w:rPr>
        <w:t>]</w:t>
      </w:r>
    </w:p>
    <w:p>
      <w:pPr>
        <w:pStyle w:val="0"/>
        <w:spacing w:line="360" w:lineRule="exact"/>
        <w:ind w:left="578"/>
        <w:rPr>
          <w:rFonts w:hint="default"/>
        </w:rPr>
      </w:pPr>
    </w:p>
    <w:p>
      <w:pPr>
        <w:pStyle w:val="0"/>
        <w:numPr>
          <w:ilvl w:val="0"/>
          <w:numId w:val="27"/>
        </w:numPr>
        <w:spacing w:line="360" w:lineRule="exact"/>
        <w:rPr>
          <w:rFonts w:hint="default"/>
        </w:rPr>
      </w:pPr>
      <w:r>
        <w:rPr>
          <w:rFonts w:hint="eastAsia" w:ascii="ＭＳ 明朝" w:hAnsi="ＭＳ 明朝" w:eastAsia="ＭＳ 明朝"/>
          <w:color w:val="auto"/>
          <w:sz w:val="24"/>
        </w:rPr>
        <w:t>「みらーと」では、支援コーディネーター・専門アドバイザーを配置し、活動環境や発表機会の創出、権利保護などの相談に対応するとともに、障害福祉サービス事業所の支援員などへ特性に応じた指導方法等のセミナーを開催します。また、支援者のネットワークを構築し、情報共有等により支援体制の強化を図ります。</w:t>
      </w:r>
      <w:r>
        <w:rPr>
          <w:rFonts w:hint="eastAsia"/>
          <w:sz w:val="16"/>
        </w:rPr>
        <w:t>[</w:t>
      </w:r>
      <w:r>
        <w:rPr>
          <w:rFonts w:hint="eastAsia"/>
          <w:sz w:val="16"/>
        </w:rPr>
        <w:t>スポーツ・文化観光部文化局</w:t>
      </w:r>
      <w:r>
        <w:rPr>
          <w:rFonts w:hint="eastAsia"/>
          <w:sz w:val="16"/>
        </w:rPr>
        <w:t>]</w:t>
      </w:r>
    </w:p>
    <w:p>
      <w:pPr>
        <w:pStyle w:val="0"/>
        <w:spacing w:line="360" w:lineRule="exact"/>
        <w:ind w:left="578"/>
        <w:rPr>
          <w:rFonts w:hint="default"/>
        </w:rPr>
      </w:pPr>
    </w:p>
    <w:p>
      <w:pPr>
        <w:pStyle w:val="0"/>
        <w:numPr>
          <w:ilvl w:val="0"/>
          <w:numId w:val="27"/>
        </w:numPr>
        <w:spacing w:line="360" w:lineRule="exact"/>
        <w:rPr>
          <w:rFonts w:hint="default"/>
        </w:rPr>
      </w:pPr>
      <w:r>
        <w:rPr>
          <w:rFonts w:hint="eastAsia" w:ascii="ＭＳ 明朝" w:hAnsi="ＭＳ 明朝" w:eastAsia="ＭＳ 明朝"/>
          <w:color w:val="auto"/>
          <w:sz w:val="24"/>
        </w:rPr>
        <w:t xml:space="preserve"> </w:t>
      </w:r>
      <w:r>
        <w:rPr>
          <w:rFonts w:hint="eastAsia" w:ascii="ＭＳ 明朝" w:hAnsi="ＭＳ 明朝" w:eastAsia="ＭＳ 明朝"/>
          <w:color w:val="auto"/>
          <w:sz w:val="24"/>
        </w:rPr>
        <w:t>県内各所で障害のある人の作品を日常的に鑑賞することができるよう</w:t>
      </w:r>
      <w:r>
        <w:rPr>
          <w:rFonts w:hint="eastAsia" w:ascii="ＭＳ 明朝" w:hAnsi="ＭＳ 明朝" w:eastAsia="ＭＳ 明朝"/>
          <w:color w:val="auto"/>
          <w:highlight w:val="none"/>
          <w:u w:val="none" w:color="auto"/>
        </w:rPr>
        <w:t>にするため</w:t>
      </w:r>
      <w:r>
        <w:rPr>
          <w:rFonts w:hint="eastAsia" w:ascii="ＭＳ 明朝" w:hAnsi="ＭＳ 明朝" w:eastAsia="ＭＳ 明朝"/>
          <w:color w:val="auto"/>
          <w:sz w:val="24"/>
        </w:rPr>
        <w:t>、「まちじゅうアート」事業を強化し、展示作品数を拡大</w:t>
      </w:r>
      <w:r>
        <w:rPr>
          <w:rFonts w:hint="eastAsia" w:ascii="ＭＳ 明朝" w:hAnsi="ＭＳ 明朝" w:eastAsia="ＭＳ 明朝"/>
          <w:color w:val="auto"/>
          <w:highlight w:val="none"/>
          <w:u w:val="none" w:color="auto"/>
        </w:rPr>
        <w:t>するほか、障害者芸術ポータルサイトを開設し、Ｗｅｂ美術館や作者紹介等のコンテンツを充実するなど、</w:t>
      </w:r>
      <w:r>
        <w:rPr>
          <w:rFonts w:hint="eastAsia" w:ascii="ＭＳ 明朝" w:hAnsi="ＭＳ 明朝" w:eastAsia="ＭＳ 明朝"/>
          <w:color w:val="auto"/>
          <w:sz w:val="24"/>
        </w:rPr>
        <w:t>いつでも手軽に鑑賞する機会を提供し</w:t>
      </w:r>
      <w:r>
        <w:rPr>
          <w:rFonts w:hint="eastAsia" w:ascii="ＭＳ 明朝" w:hAnsi="ＭＳ 明朝" w:eastAsia="ＭＳ 明朝"/>
          <w:color w:val="auto"/>
          <w:highlight w:val="none"/>
          <w:u w:val="none" w:color="auto"/>
        </w:rPr>
        <w:t>、障害者文化芸術の魅力を発信します。</w:t>
      </w:r>
      <w:r>
        <w:rPr>
          <w:rFonts w:hint="eastAsia"/>
          <w:sz w:val="16"/>
        </w:rPr>
        <w:t>[</w:t>
      </w:r>
      <w:r>
        <w:rPr>
          <w:rFonts w:hint="eastAsia"/>
          <w:sz w:val="16"/>
        </w:rPr>
        <w:t>スポーツ・文化観光部文化局</w:t>
      </w:r>
      <w:r>
        <w:rPr>
          <w:rFonts w:hint="eastAsia"/>
          <w:sz w:val="16"/>
        </w:rPr>
        <w:t>]</w:t>
      </w:r>
    </w:p>
    <w:p>
      <w:pPr>
        <w:pStyle w:val="0"/>
        <w:spacing w:line="360" w:lineRule="exact"/>
        <w:ind w:left="0" w:leftChars="0" w:firstLineChars="0"/>
        <w:rPr>
          <w:rFonts w:hint="default"/>
        </w:rPr>
      </w:pPr>
    </w:p>
    <w:p>
      <w:pPr>
        <w:pStyle w:val="0"/>
        <w:rPr>
          <w:rFonts w:hint="default"/>
        </w:rPr>
      </w:pPr>
      <w:r>
        <w:rPr>
          <w:rFonts w:hint="eastAsia" w:ascii="ＭＳ ゴシック" w:hAnsi="ＭＳ ゴシック" w:eastAsia="ＭＳ ゴシック"/>
        </w:rPr>
        <w:t>【数値目標】</w:t>
      </w:r>
    </w:p>
    <w:tbl>
      <w:tblPr>
        <w:tblStyle w:val="11"/>
        <w:tblW w:w="9663"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4"/>
        <w:gridCol w:w="4871"/>
        <w:gridCol w:w="2189"/>
        <w:gridCol w:w="2189"/>
      </w:tblGrid>
      <w:tr>
        <w:trPr>
          <w:trHeight w:val="287"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364"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静岡県障害者芸術祭参加者・鑑賞者数（ふじのくに芸術祭、障害者芸術祭の参加者及び鑑賞者数）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2019</w:t>
            </w:r>
            <w:r>
              <w:rPr>
                <w:rFonts w:hint="eastAsia"/>
              </w:rPr>
              <w:t>年度）</w:t>
            </w:r>
          </w:p>
          <w:p>
            <w:pPr>
              <w:pStyle w:val="0"/>
              <w:spacing w:line="360" w:lineRule="exact"/>
              <w:jc w:val="center"/>
              <w:rPr>
                <w:rFonts w:hint="default"/>
              </w:rPr>
            </w:pPr>
            <w:r>
              <w:rPr>
                <w:rFonts w:hint="eastAsia"/>
              </w:rPr>
              <w:t>26,114</w:t>
            </w:r>
            <w:r>
              <w:rPr>
                <w:rFonts w:hint="eastAsia"/>
              </w:rPr>
              <w:t>人</w:t>
            </w:r>
          </w:p>
        </w:tc>
        <w:tc>
          <w:tcPr>
            <w:tcW w:w="2189" w:type="dxa"/>
            <w:vAlign w:val="center"/>
          </w:tcPr>
          <w:p>
            <w:pPr>
              <w:pStyle w:val="0"/>
              <w:spacing w:line="360" w:lineRule="exact"/>
              <w:jc w:val="center"/>
              <w:rPr>
                <w:rFonts w:hint="default"/>
              </w:rPr>
            </w:pPr>
            <w:r>
              <w:rPr>
                <w:rFonts w:hint="eastAsia"/>
              </w:rPr>
              <w:t>（</w:t>
            </w:r>
            <w:r>
              <w:rPr>
                <w:rFonts w:hint="eastAsia"/>
              </w:rPr>
              <w:t>2025</w:t>
            </w:r>
            <w:r>
              <w:rPr>
                <w:rFonts w:hint="eastAsia"/>
              </w:rPr>
              <w:t>年度）</w:t>
            </w:r>
          </w:p>
          <w:p>
            <w:pPr>
              <w:pStyle w:val="0"/>
              <w:spacing w:line="360" w:lineRule="exact"/>
              <w:jc w:val="center"/>
              <w:rPr>
                <w:rFonts w:hint="default"/>
              </w:rPr>
            </w:pPr>
            <w:r>
              <w:rPr>
                <w:rFonts w:hint="eastAsia"/>
              </w:rPr>
              <w:t>35,000</w:t>
            </w:r>
            <w:r>
              <w:rPr>
                <w:rFonts w:hint="eastAsia"/>
              </w:rPr>
              <w:t>人</w:t>
            </w:r>
          </w:p>
        </w:tc>
      </w:tr>
    </w:tbl>
    <w:p>
      <w:pPr>
        <w:pStyle w:val="0"/>
        <w:ind w:left="480" w:hanging="480" w:hangingChars="200"/>
        <w:outlineLvl w:val="0"/>
        <w:rPr>
          <w:rFonts w:hint="default"/>
        </w:rPr>
      </w:pPr>
    </w:p>
    <w:p>
      <w:pPr>
        <w:pStyle w:val="0"/>
        <w:ind w:left="480" w:hanging="480" w:hangingChars="200"/>
        <w:outlineLvl w:val="0"/>
        <w:rPr>
          <w:rFonts w:hint="default"/>
        </w:rPr>
      </w:pPr>
    </w:p>
    <w:p>
      <w:pPr>
        <w:rPr>
          <w:rFonts w:hint="default"/>
        </w:rPr>
        <w:sectPr>
          <w:headerReference r:id="rId29" w:type="even"/>
          <w:headerReference r:id="rId30" w:type="default"/>
          <w:headerReference r:id="rId28" w:type="first"/>
          <w:pgSz w:w="11906" w:h="16838"/>
          <w:pgMar w:top="1134" w:right="1021" w:bottom="1134" w:left="1134" w:header="284" w:footer="284" w:gutter="0"/>
          <w:cols w:space="720"/>
          <w:textDirection w:val="lrTb"/>
          <w:docGrid w:type="lines" w:linePitch="428"/>
        </w:sectPr>
      </w:pPr>
    </w:p>
    <w:p>
      <w:pPr>
        <w:pStyle w:val="0"/>
        <w:ind w:left="480" w:hanging="480" w:hangingChars="200"/>
        <w:outlineLvl w:val="0"/>
        <w:rPr>
          <w:rFonts w:hint="default"/>
        </w:rPr>
      </w:pPr>
      <w:r>
        <w:rPr>
          <w:rFonts w:hint="eastAsia"/>
        </w:rPr>
        <mc:AlternateContent>
          <mc:Choice Requires="wps">
            <w:drawing>
              <wp:anchor distT="0" distB="0" distL="114300" distR="114300" simplePos="0" relativeHeight="6" behindDoc="0" locked="0" layoutInCell="1" hidden="0" allowOverlap="1">
                <wp:simplePos x="0" y="0"/>
                <wp:positionH relativeFrom="column">
                  <wp:posOffset>61595</wp:posOffset>
                </wp:positionH>
                <wp:positionV relativeFrom="paragraph">
                  <wp:posOffset>20955</wp:posOffset>
                </wp:positionV>
                <wp:extent cx="6120130" cy="335915"/>
                <wp:effectExtent l="635" t="635" r="29845" b="10795"/>
                <wp:wrapNone/>
                <wp:docPr id="1089" name="オブジェクト 0"/>
                <a:graphic xmlns:a="http://schemas.openxmlformats.org/drawingml/2006/main">
                  <a:graphicData uri="http://schemas.microsoft.com/office/word/2010/wordprocessingShape">
                    <wps:wsp>
                      <wps:cNvPr id="1089" name="オブジェクト 0"/>
                      <wps:cNvSpPr>
                        <a:spLocks noChangeArrowheads="1"/>
                      </wps:cNvSpPr>
                      <wps:spPr>
                        <a:xfrm>
                          <a:off x="0" y="0"/>
                          <a:ext cx="6120130" cy="335915"/>
                        </a:xfrm>
                        <a:prstGeom prst="roundRect">
                          <a:avLst>
                            <a:gd name="adj" fmla="val 16695"/>
                          </a:avLst>
                        </a:prstGeom>
                        <a:solidFill>
                          <a:srgbClr val="C0C0C0">
                            <a:alpha val="39999"/>
                          </a:srgbClr>
                        </a:solidFill>
                        <a:ln w="9525">
                          <a:solidFill>
                            <a:srgbClr val="C0C0C0"/>
                          </a:solidFill>
                        </a:ln>
                      </wps:spPr>
                      <wps:txbx>
                        <w:txbxContent>
                          <w:p>
                            <w:pPr>
                              <w:pStyle w:val="0"/>
                              <w:rPr>
                                <w:rFonts w:hint="default" w:ascii="ＭＳ ゴシック" w:hAnsi="ＭＳ ゴシック" w:eastAsia="ＭＳ ゴシック"/>
                                <w:sz w:val="28"/>
                              </w:rPr>
                            </w:pPr>
                            <w:r>
                              <w:rPr>
                                <w:rFonts w:hint="eastAsia" w:ascii="ＭＳ ゴシック" w:hAnsi="ＭＳ ゴシック" w:eastAsia="ＭＳ ゴシック"/>
                                <w:sz w:val="28"/>
                              </w:rPr>
                              <w:t>Ⅱ　地域における自立を支える体制づくり</w:t>
                            </w:r>
                          </w:p>
                        </w:txbxContent>
                      </wps:txbx>
                      <wps:bodyPr vertOverflow="overflow" horzOverflow="overflow" lIns="74295" tIns="8890" rIns="74295" bIns="8890" upright="1"/>
                    </wps:wsp>
                  </a:graphicData>
                </a:graphic>
              </wp:anchor>
            </w:drawing>
          </mc:Choice>
          <mc:Fallback>
            <w:pict>
              <v:roundrect id="オブジェクト 0" style="mso-wrap-distance-right:9pt;mso-wrap-distance-bottom:0pt;margin-top:1.65pt;mso-position-vertical-relative:text;mso-position-horizontal-relative:text;position:absolute;height:26.45pt;mso-wrap-distance-top:0pt;width:481.9pt;mso-wrap-distance-left:9pt;margin-left:4.84pt;z-index:6;" o:spid="_x0000_s1089" o:allowincell="t" o:allowoverlap="t" filled="t" fillcolor="#c0c0c0" stroked="t" strokecolor="#c0c0c0" strokeweight="0.75pt" o:spt="2" arcsize="10941f">
                <v:fill opacity="26213f"/>
                <v:stroke filltype="solid"/>
                <v:textbox style="layout-flow:horizontal;" inset="2.0637499999999998mm,0.24694444444444438mm,2.0637499999999998mm,0.24694444444444438mm">
                  <w:txbxContent>
                    <w:p>
                      <w:pPr>
                        <w:pStyle w:val="0"/>
                        <w:rPr>
                          <w:rFonts w:hint="default" w:ascii="ＭＳ ゴシック" w:hAnsi="ＭＳ ゴシック" w:eastAsia="ＭＳ ゴシック"/>
                          <w:sz w:val="28"/>
                        </w:rPr>
                      </w:pPr>
                      <w:r>
                        <w:rPr>
                          <w:rFonts w:hint="eastAsia" w:ascii="ＭＳ ゴシック" w:hAnsi="ＭＳ ゴシック" w:eastAsia="ＭＳ ゴシック"/>
                          <w:sz w:val="28"/>
                        </w:rPr>
                        <w:t>Ⅱ　地域における自立を支える体制づくり</w:t>
                      </w:r>
                    </w:p>
                  </w:txbxContent>
                </v:textbox>
                <v:imagedata o:title=""/>
                <w10:wrap type="none" anchorx="text" anchory="text"/>
              </v:roundrect>
            </w:pict>
          </mc:Fallback>
        </mc:AlternateContent>
      </w:r>
    </w:p>
    <w:p>
      <w:pPr>
        <w:pStyle w:val="0"/>
        <w:ind w:left="520" w:hanging="520" w:hangingChars="200"/>
        <w:outlineLvl w:val="0"/>
        <w:rPr>
          <w:rFonts w:hint="default" w:ascii="ＭＳ ゴシック" w:hAnsi="ＭＳ ゴシック" w:eastAsia="ＭＳ ゴシック"/>
          <w:sz w:val="26"/>
          <w:u w:val="single" w:color="auto"/>
        </w:rPr>
      </w:pPr>
      <w:bookmarkEnd w:id="1"/>
      <w:bookmarkStart w:id="94" w:name="_Toc503474053"/>
    </w:p>
    <w:p>
      <w:pPr>
        <w:pStyle w:val="0"/>
        <w:ind w:left="520" w:hanging="520" w:hangingChars="200"/>
        <w:outlineLvl w:val="0"/>
        <w:rPr>
          <w:rFonts w:hint="default" w:ascii="ＭＳ ゴシック" w:hAnsi="ＭＳ ゴシック" w:eastAsia="ＭＳ ゴシック"/>
          <w:sz w:val="26"/>
          <w:u w:val="single" w:color="auto"/>
        </w:rPr>
      </w:pPr>
      <w:r>
        <w:rPr>
          <w:rFonts w:hint="eastAsia" w:ascii="ＭＳ ゴシック" w:hAnsi="ＭＳ ゴシック" w:eastAsia="ＭＳ ゴシック"/>
          <w:sz w:val="26"/>
          <w:u w:val="single" w:color="auto"/>
        </w:rPr>
        <w:t>１　身近な相談支援体制整備の</w:t>
      </w:r>
      <w:bookmarkEnd w:id="94"/>
      <w:r>
        <w:rPr>
          <w:rFonts w:hint="eastAsia" w:ascii="ＭＳ ゴシック" w:hAnsi="ＭＳ ゴシック" w:eastAsia="ＭＳ ゴシック"/>
          <w:sz w:val="26"/>
          <w:u w:val="single" w:color="auto"/>
        </w:rPr>
        <w:t>推進</w:t>
      </w:r>
      <w:r>
        <w:rPr>
          <w:rFonts w:hint="eastAsia" w:ascii="ＭＳ ゴシック" w:hAnsi="ＭＳ ゴシック" w:eastAsia="ＭＳ ゴシック"/>
          <w:sz w:val="26"/>
          <w:u w:val="single" w:color="auto"/>
        </w:rPr>
        <w:tab/>
      </w:r>
    </w:p>
    <w:p>
      <w:pPr>
        <w:pStyle w:val="0"/>
        <w:outlineLvl w:val="2"/>
        <w:rPr>
          <w:rFonts w:hint="default" w:ascii="ＭＳ ゴシック" w:hAnsi="ＭＳ ゴシック" w:eastAsia="ＭＳ ゴシック"/>
        </w:rPr>
      </w:pPr>
      <w:bookmarkStart w:id="95" w:name="_Toc503474054"/>
      <w:r>
        <w:rPr>
          <w:rFonts w:hint="eastAsia" w:ascii="ＭＳ ゴシック" w:hAnsi="ＭＳ ゴシック" w:eastAsia="ＭＳ ゴシック"/>
        </w:rPr>
        <w:t>（１）相談支援の充実</w:t>
      </w:r>
      <w:bookmarkEnd w:id="95"/>
    </w:p>
    <w:p>
      <w:pPr>
        <w:pStyle w:val="0"/>
        <w:rPr>
          <w:rFonts w:hint="default"/>
        </w:rPr>
      </w:pPr>
      <w:r>
        <w:rPr>
          <w:rFonts w:hint="eastAsia" w:ascii="ＭＳ ゴシック" w:hAnsi="ＭＳ ゴシック" w:eastAsia="ＭＳ ゴシック"/>
        </w:rPr>
        <w:t>【現状と課題】</w:t>
      </w:r>
    </w:p>
    <w:p>
      <w:pPr>
        <w:pStyle w:val="0"/>
        <w:numPr>
          <w:ilvl w:val="0"/>
          <w:numId w:val="28"/>
        </w:numPr>
        <w:autoSpaceDE w:val="0"/>
        <w:autoSpaceDN w:val="0"/>
        <w:adjustRightInd w:val="0"/>
        <w:spacing w:line="360" w:lineRule="exact"/>
        <w:jc w:val="left"/>
        <w:rPr>
          <w:rFonts w:hint="default"/>
        </w:rPr>
      </w:pPr>
      <w:r>
        <w:rPr>
          <w:rFonts w:hint="eastAsia"/>
          <w:kern w:val="0"/>
        </w:rPr>
        <w:t>障害のある人の地域での自立した生活を支えていくために、乳幼児期から高齢期に至るまで、様々なライフステージに応じた相談支援体制を確立していく必要があります。</w:t>
      </w:r>
    </w:p>
    <w:p>
      <w:pPr>
        <w:pStyle w:val="0"/>
        <w:autoSpaceDE w:val="0"/>
        <w:autoSpaceDN w:val="0"/>
        <w:adjustRightInd w:val="0"/>
        <w:spacing w:line="360" w:lineRule="exact"/>
        <w:ind w:left="576"/>
        <w:jc w:val="left"/>
        <w:rPr>
          <w:rFonts w:hint="default"/>
        </w:rPr>
      </w:pPr>
    </w:p>
    <w:p>
      <w:pPr>
        <w:pStyle w:val="0"/>
        <w:numPr>
          <w:ilvl w:val="0"/>
          <w:numId w:val="29"/>
        </w:numPr>
        <w:autoSpaceDE w:val="0"/>
        <w:autoSpaceDN w:val="0"/>
        <w:adjustRightInd w:val="0"/>
        <w:spacing w:line="360" w:lineRule="exact"/>
        <w:jc w:val="left"/>
        <w:rPr>
          <w:rFonts w:hint="default"/>
        </w:rPr>
      </w:pPr>
      <w:r>
        <w:rPr>
          <w:rFonts w:hint="eastAsia"/>
        </w:rPr>
        <w:t>相談支援事業をはじめとする地域の障害福祉の課題解決に向けた検討や情報共有の場として、県内全</w:t>
      </w:r>
      <w:r>
        <w:rPr>
          <w:rFonts w:hint="eastAsia"/>
        </w:rPr>
        <w:t>35</w:t>
      </w:r>
      <w:r>
        <w:rPr>
          <w:rFonts w:hint="eastAsia"/>
        </w:rPr>
        <w:t>市町において単独又は共同で市町自立支援協議会</w:t>
      </w:r>
      <w:r>
        <w:rPr>
          <w:rFonts w:hint="eastAsia"/>
          <w:spacing w:val="-4"/>
          <w:kern w:val="0"/>
          <w:vertAlign w:val="superscript"/>
        </w:rPr>
        <w:t>＊</w:t>
      </w:r>
      <w:r>
        <w:rPr>
          <w:rFonts w:hint="eastAsia"/>
        </w:rPr>
        <w:t>が設置されているとともに、市町単位では解決できない課題を検討する場として、</w:t>
      </w:r>
      <w:r>
        <w:rPr>
          <w:rFonts w:hint="eastAsia"/>
          <w:kern w:val="0"/>
        </w:rPr>
        <w:t>各障害保健福祉圏域</w:t>
      </w:r>
      <w:r>
        <w:rPr>
          <w:rFonts w:hint="eastAsia"/>
        </w:rPr>
        <w:t>（全８圏域）に圏域自立支援協議会</w:t>
      </w:r>
      <w:r>
        <w:rPr>
          <w:rFonts w:hint="eastAsia"/>
          <w:kern w:val="0"/>
          <w:vertAlign w:val="superscript"/>
        </w:rPr>
        <w:t>＊</w:t>
      </w:r>
      <w:r>
        <w:rPr>
          <w:rFonts w:hint="eastAsia"/>
        </w:rPr>
        <w:t>が設置されています。</w:t>
      </w:r>
    </w:p>
    <w:p>
      <w:pPr>
        <w:pStyle w:val="0"/>
        <w:autoSpaceDE w:val="0"/>
        <w:autoSpaceDN w:val="0"/>
        <w:adjustRightInd w:val="0"/>
        <w:spacing w:line="360" w:lineRule="exact"/>
        <w:ind w:left="576"/>
        <w:jc w:val="left"/>
        <w:rPr>
          <w:rFonts w:hint="default"/>
        </w:rPr>
      </w:pPr>
    </w:p>
    <w:p>
      <w:pPr>
        <w:pStyle w:val="0"/>
        <w:numPr>
          <w:ilvl w:val="0"/>
          <w:numId w:val="29"/>
        </w:numPr>
        <w:autoSpaceDE w:val="0"/>
        <w:autoSpaceDN w:val="0"/>
        <w:adjustRightInd w:val="0"/>
        <w:spacing w:line="360" w:lineRule="exact"/>
        <w:jc w:val="left"/>
        <w:rPr>
          <w:rFonts w:hint="default"/>
        </w:rPr>
      </w:pPr>
      <w:r>
        <w:rPr>
          <w:rFonts w:hint="eastAsia"/>
          <w:kern w:val="0"/>
        </w:rPr>
        <w:t>障害のある人が個々の特性・状況・ニーズに応じた、多様なサービスを主体的に選択し、計画的に利用していくための専門的な相談支援体制の充実を図る必要があります。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ア　広域的な相談支援体制の整備</w:t>
      </w:r>
    </w:p>
    <w:p>
      <w:pPr>
        <w:pStyle w:val="0"/>
        <w:numPr>
          <w:ilvl w:val="0"/>
          <w:numId w:val="30"/>
        </w:numPr>
        <w:autoSpaceDE w:val="0"/>
        <w:autoSpaceDN w:val="0"/>
        <w:adjustRightInd w:val="0"/>
        <w:spacing w:line="360" w:lineRule="exact"/>
        <w:jc w:val="left"/>
        <w:rPr>
          <w:rFonts w:hint="default"/>
          <w:spacing w:val="-4"/>
          <w:kern w:val="0"/>
        </w:rPr>
      </w:pPr>
      <w:r>
        <w:rPr>
          <w:rFonts w:hint="eastAsia"/>
          <w:kern w:val="0"/>
        </w:rPr>
        <w:t>障害のある人の地域生活支援の中核を担う相談支援事業所及び市町自立支援協議会</w:t>
      </w:r>
      <w:r>
        <w:rPr>
          <w:rFonts w:hint="eastAsia"/>
          <w:spacing w:val="-4"/>
          <w:kern w:val="0"/>
          <w:vertAlign w:val="superscript"/>
        </w:rPr>
        <w:t>＊</w:t>
      </w:r>
      <w:r>
        <w:rPr>
          <w:rFonts w:hint="eastAsia"/>
          <w:kern w:val="0"/>
        </w:rPr>
        <w:t>に対して、技術的助言等を行うなど各障害保健福祉圏域に圏域スーパーバイザー</w:t>
      </w:r>
      <w:r>
        <w:rPr>
          <w:rFonts w:hint="eastAsia"/>
          <w:kern w:val="0"/>
          <w:vertAlign w:val="superscript"/>
        </w:rPr>
        <w:t>＊</w:t>
      </w:r>
      <w:r>
        <w:rPr>
          <w:rFonts w:hint="eastAsia"/>
          <w:kern w:val="0"/>
        </w:rPr>
        <w:t>を配置し、市町の相談支援体制整備を支援します。</w:t>
      </w:r>
      <w:r>
        <w:rPr>
          <w:rFonts w:hint="eastAsia"/>
          <w:sz w:val="16"/>
        </w:rPr>
        <w:t>[</w:t>
      </w:r>
      <w:r>
        <w:rPr>
          <w:rFonts w:hint="eastAsia"/>
          <w:spacing w:val="-4"/>
          <w:kern w:val="0"/>
          <w:sz w:val="16"/>
        </w:rPr>
        <w:t>健康福祉部</w:t>
      </w:r>
      <w:r>
        <w:rPr>
          <w:rFonts w:hint="eastAsia"/>
          <w:sz w:val="16"/>
        </w:rPr>
        <w:t>障害者支援局</w:t>
      </w:r>
      <w:r>
        <w:rPr>
          <w:rFonts w:hint="eastAsia"/>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30"/>
        </w:numPr>
        <w:autoSpaceDE w:val="0"/>
        <w:autoSpaceDN w:val="0"/>
        <w:adjustRightInd w:val="0"/>
        <w:spacing w:line="360" w:lineRule="exact"/>
        <w:jc w:val="left"/>
        <w:rPr>
          <w:rFonts w:hint="default"/>
          <w:spacing w:val="-4"/>
          <w:kern w:val="0"/>
        </w:rPr>
      </w:pPr>
      <w:r>
        <w:rPr>
          <w:rFonts w:hint="eastAsia"/>
          <w:kern w:val="0"/>
        </w:rPr>
        <w:t>各障害保健福祉圏域</w:t>
      </w:r>
      <w:r>
        <w:rPr>
          <w:rFonts w:hint="eastAsia"/>
        </w:rPr>
        <w:t>（全８圏域）</w:t>
      </w:r>
      <w:r>
        <w:rPr>
          <w:rFonts w:hint="eastAsia"/>
          <w:kern w:val="0"/>
        </w:rPr>
        <w:t>に設置した圏域自立支援協議会</w:t>
      </w:r>
      <w:r>
        <w:rPr>
          <w:rFonts w:hint="eastAsia"/>
          <w:color w:val="000000" w:themeColor="text1"/>
          <w:spacing w:val="-4"/>
          <w:kern w:val="0"/>
          <w:vertAlign w:val="superscript"/>
        </w:rPr>
        <w:t>＊</w:t>
      </w:r>
      <w:r>
        <w:rPr>
          <w:rFonts w:hint="eastAsia"/>
          <w:kern w:val="0"/>
        </w:rPr>
        <w:t>において専門部会を設置し課題解決に向けた検討を進めます。障害のある人の一般就労や地域移行、障害児支援といった特定の専門的課題への対応を図っていきます。</w:t>
      </w:r>
      <w:r>
        <w:rPr>
          <w:rFonts w:hint="eastAsia"/>
          <w:sz w:val="16"/>
        </w:rPr>
        <w:t>[</w:t>
      </w:r>
      <w:r>
        <w:rPr>
          <w:rFonts w:hint="eastAsia"/>
          <w:spacing w:val="-4"/>
          <w:kern w:val="0"/>
          <w:sz w:val="16"/>
        </w:rPr>
        <w:t>健康福祉部</w:t>
      </w:r>
      <w:r>
        <w:rPr>
          <w:rFonts w:hint="eastAsia"/>
          <w:sz w:val="16"/>
        </w:rPr>
        <w:t>障害者支援局</w:t>
      </w:r>
      <w:r>
        <w:rPr>
          <w:rFonts w:hint="eastAsia"/>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30"/>
        </w:numPr>
        <w:autoSpaceDE w:val="0"/>
        <w:autoSpaceDN w:val="0"/>
        <w:adjustRightInd w:val="0"/>
        <w:spacing w:line="360" w:lineRule="exact"/>
        <w:jc w:val="left"/>
        <w:rPr>
          <w:rFonts w:hint="default"/>
          <w:spacing w:val="-4"/>
          <w:kern w:val="0"/>
        </w:rPr>
      </w:pPr>
      <w:r>
        <w:rPr>
          <w:rFonts w:hint="eastAsia"/>
          <w:spacing w:val="-4"/>
          <w:kern w:val="0"/>
        </w:rPr>
        <w:t>親元からの自立や地域生活への移行等に係る相談機能を持つ地域生活支援拠点</w:t>
      </w:r>
      <w:r>
        <w:rPr>
          <w:rFonts w:hint="eastAsia"/>
          <w:spacing w:val="-4"/>
          <w:kern w:val="0"/>
          <w:vertAlign w:val="superscript"/>
        </w:rPr>
        <w:t>＊</w:t>
      </w:r>
      <w:r>
        <w:rPr>
          <w:rFonts w:hint="eastAsia"/>
          <w:spacing w:val="-4"/>
          <w:kern w:val="0"/>
        </w:rPr>
        <w:t>や、地域の相談支援の拠点となる基幹相談支援センター</w:t>
      </w:r>
      <w:r>
        <w:rPr>
          <w:rFonts w:hint="eastAsia"/>
          <w:color w:val="000000" w:themeColor="text1"/>
          <w:spacing w:val="-4"/>
          <w:kern w:val="0"/>
          <w:vertAlign w:val="superscript"/>
        </w:rPr>
        <w:t>＊</w:t>
      </w:r>
      <w:r>
        <w:rPr>
          <w:rFonts w:hint="eastAsia"/>
          <w:spacing w:val="-4"/>
          <w:kern w:val="0"/>
        </w:rPr>
        <w:t>の設置促進による</w:t>
      </w:r>
      <w:r>
        <w:rPr>
          <w:rFonts w:hint="eastAsia"/>
          <w:kern w:val="0"/>
        </w:rPr>
        <w:t>市町の相談支援体制整備を支援します。</w:t>
      </w:r>
      <w:r>
        <w:rPr>
          <w:rFonts w:hint="eastAsia"/>
          <w:sz w:val="16"/>
        </w:rPr>
        <w:t>[</w:t>
      </w:r>
      <w:r>
        <w:rPr>
          <w:rFonts w:hint="eastAsia"/>
          <w:spacing w:val="-4"/>
          <w:kern w:val="0"/>
          <w:sz w:val="16"/>
        </w:rPr>
        <w:t>健康福祉部</w:t>
      </w:r>
      <w:r>
        <w:rPr>
          <w:rFonts w:hint="eastAsia"/>
          <w:sz w:val="16"/>
        </w:rPr>
        <w:t>障害者支援局</w:t>
      </w:r>
      <w:r>
        <w:rPr>
          <w:rFonts w:hint="eastAsia"/>
          <w:sz w:val="16"/>
        </w:rPr>
        <w:t>]</w:t>
      </w:r>
    </w:p>
    <w:p>
      <w:pPr>
        <w:pStyle w:val="0"/>
        <w:autoSpaceDE w:val="0"/>
        <w:autoSpaceDN w:val="0"/>
        <w:adjustRightInd w:val="0"/>
        <w:spacing w:line="360" w:lineRule="exact"/>
        <w:ind w:left="868"/>
        <w:jc w:val="left"/>
        <w:rPr>
          <w:rFonts w:hint="default"/>
          <w:spacing w:val="-4"/>
          <w:kern w:val="0"/>
        </w:rPr>
      </w:pP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イ　専門的な相談支援の実施</w:t>
      </w:r>
    </w:p>
    <w:p>
      <w:pPr>
        <w:pStyle w:val="0"/>
        <w:numPr>
          <w:ilvl w:val="0"/>
          <w:numId w:val="31"/>
        </w:numPr>
        <w:autoSpaceDE w:val="0"/>
        <w:autoSpaceDN w:val="0"/>
        <w:adjustRightInd w:val="0"/>
        <w:spacing w:line="360" w:lineRule="exact"/>
        <w:jc w:val="left"/>
        <w:rPr>
          <w:rFonts w:hint="default"/>
        </w:rPr>
      </w:pPr>
      <w:r>
        <w:rPr>
          <w:rFonts w:hint="eastAsia"/>
          <w:kern w:val="0"/>
        </w:rPr>
        <w:t>身体障害者更生相談所</w:t>
      </w:r>
      <w:r>
        <w:rPr>
          <w:rFonts w:hint="eastAsia"/>
          <w:spacing w:val="-4"/>
          <w:kern w:val="0"/>
          <w:vertAlign w:val="superscript"/>
        </w:rPr>
        <w:t>＊</w:t>
      </w:r>
      <w:r>
        <w:rPr>
          <w:rFonts w:hint="eastAsia"/>
          <w:kern w:val="0"/>
        </w:rPr>
        <w:t>、知的障害者更生相談所</w:t>
      </w:r>
      <w:r>
        <w:rPr>
          <w:rFonts w:hint="eastAsia"/>
          <w:spacing w:val="-4"/>
          <w:kern w:val="0"/>
          <w:vertAlign w:val="superscript"/>
        </w:rPr>
        <w:t>＊</w:t>
      </w:r>
      <w:r>
        <w:rPr>
          <w:rFonts w:hint="eastAsia"/>
          <w:kern w:val="0"/>
        </w:rPr>
        <w:t>、児童相談所</w:t>
      </w:r>
      <w:r>
        <w:rPr>
          <w:rFonts w:hint="eastAsia"/>
          <w:spacing w:val="-4"/>
          <w:kern w:val="0"/>
          <w:vertAlign w:val="superscript"/>
        </w:rPr>
        <w:t>＊</w:t>
      </w:r>
      <w:r>
        <w:rPr>
          <w:rFonts w:hint="eastAsia"/>
          <w:kern w:val="0"/>
        </w:rPr>
        <w:t>、精神保健福祉センター</w:t>
      </w:r>
      <w:r>
        <w:rPr>
          <w:rFonts w:hint="eastAsia"/>
          <w:spacing w:val="-4"/>
          <w:kern w:val="0"/>
          <w:vertAlign w:val="superscript"/>
        </w:rPr>
        <w:t>＊</w:t>
      </w:r>
      <w:r>
        <w:rPr>
          <w:rFonts w:hint="eastAsia"/>
          <w:kern w:val="0"/>
        </w:rPr>
        <w:t>、発達障害者支援センター</w:t>
      </w:r>
      <w:r>
        <w:rPr>
          <w:rFonts w:hint="eastAsia"/>
          <w:spacing w:val="-4"/>
          <w:kern w:val="0"/>
          <w:vertAlign w:val="superscript"/>
        </w:rPr>
        <w:t>＊</w:t>
      </w:r>
      <w:r>
        <w:rPr>
          <w:rFonts w:hint="eastAsia"/>
          <w:kern w:val="0"/>
        </w:rPr>
        <w:t>、医療的ケア児等支援センター</w:t>
      </w:r>
      <w:r>
        <w:rPr>
          <w:rFonts w:hint="eastAsia"/>
          <w:color w:val="000000" w:themeColor="text1"/>
          <w:spacing w:val="-4"/>
          <w:kern w:val="0"/>
          <w:vertAlign w:val="superscript"/>
        </w:rPr>
        <w:t>＊</w:t>
      </w:r>
      <w:r>
        <w:rPr>
          <w:rFonts w:hint="eastAsia"/>
          <w:kern w:val="0"/>
        </w:rPr>
        <w:t>、福祉事務所、保健所などの専門機関の機能を強化するとともに、一層の連携を図ります。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pacing w:val="-4"/>
          <w:kern w:val="0"/>
          <w:sz w:val="16"/>
        </w:rPr>
        <w:t>健康福祉部こども未来局</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numPr>
          <w:ilvl w:val="0"/>
          <w:numId w:val="31"/>
        </w:numPr>
        <w:autoSpaceDE w:val="0"/>
        <w:autoSpaceDN w:val="0"/>
        <w:adjustRightInd w:val="0"/>
        <w:spacing w:line="360" w:lineRule="exact"/>
        <w:jc w:val="left"/>
        <w:rPr>
          <w:rFonts w:hint="default"/>
          <w:spacing w:val="-4"/>
          <w:kern w:val="0"/>
        </w:rPr>
      </w:pPr>
      <w:r>
        <w:rPr>
          <w:rFonts w:hint="eastAsia"/>
          <w:kern w:val="0"/>
        </w:rPr>
        <w:t>当事者及びその家族の福祉の向上に努めるため、発達障害者支援コーディネーター、高次脳機能障害</w:t>
      </w:r>
      <w:r>
        <w:rPr>
          <w:rFonts w:hint="eastAsia"/>
          <w:vertAlign w:val="superscript"/>
        </w:rPr>
        <w:t>＊</w:t>
      </w:r>
      <w:r>
        <w:rPr>
          <w:rFonts w:hint="eastAsia"/>
          <w:kern w:val="0"/>
        </w:rPr>
        <w:t>のある人に対する相談支援コーディネーター</w:t>
      </w:r>
      <w:r>
        <w:rPr>
          <w:rFonts w:hint="eastAsia"/>
          <w:spacing w:val="-4"/>
          <w:kern w:val="0"/>
          <w:vertAlign w:val="superscript"/>
        </w:rPr>
        <w:t>＊</w:t>
      </w:r>
      <w:r>
        <w:rPr>
          <w:rFonts w:hint="eastAsia"/>
          <w:kern w:val="0"/>
        </w:rPr>
        <w:t>、を県内に配置するとともに、医療的ケア児等コーディネーター</w:t>
      </w:r>
      <w:r>
        <w:rPr>
          <w:rFonts w:hint="eastAsia"/>
          <w:color w:val="000000" w:themeColor="text1"/>
          <w:spacing w:val="-4"/>
          <w:kern w:val="0"/>
          <w:vertAlign w:val="superscript"/>
        </w:rPr>
        <w:t>＊</w:t>
      </w:r>
      <w:r>
        <w:rPr>
          <w:rFonts w:hint="eastAsia"/>
          <w:kern w:val="0"/>
        </w:rPr>
        <w:t>の計画的な配置を促し、地域における相談・支援業務を行います。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31"/>
        </w:numPr>
        <w:autoSpaceDE w:val="0"/>
        <w:autoSpaceDN w:val="0"/>
        <w:adjustRightInd w:val="0"/>
        <w:spacing w:line="360" w:lineRule="exact"/>
        <w:jc w:val="left"/>
        <w:rPr>
          <w:rFonts w:hint="default"/>
          <w:kern w:val="0"/>
        </w:rPr>
      </w:pPr>
      <w:r>
        <w:rPr>
          <w:rFonts w:hint="eastAsia"/>
          <w:kern w:val="0"/>
        </w:rPr>
        <w:t>障害のある人が地域で自立した生活ができるように、障害者就業・生活支援センター</w:t>
      </w:r>
      <w:r>
        <w:rPr>
          <w:rFonts w:hint="eastAsia"/>
          <w:spacing w:val="-4"/>
          <w:kern w:val="0"/>
          <w:vertAlign w:val="superscript"/>
        </w:rPr>
        <w:t>＊</w:t>
      </w:r>
      <w:r>
        <w:rPr>
          <w:rFonts w:hint="eastAsia"/>
          <w:kern w:val="0"/>
        </w:rPr>
        <w:t>による、就業面及び生活面での相談支援を行います。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kern w:val="0"/>
        </w:rPr>
      </w:pPr>
    </w:p>
    <w:p>
      <w:pPr>
        <w:pStyle w:val="0"/>
        <w:numPr>
          <w:ilvl w:val="0"/>
          <w:numId w:val="31"/>
        </w:numPr>
        <w:autoSpaceDE w:val="0"/>
        <w:autoSpaceDN w:val="0"/>
        <w:adjustRightInd w:val="0"/>
        <w:spacing w:line="360" w:lineRule="exact"/>
        <w:jc w:val="left"/>
        <w:rPr>
          <w:rFonts w:hint="default"/>
          <w:spacing w:val="-4"/>
          <w:kern w:val="0"/>
        </w:rPr>
      </w:pPr>
      <w:r>
        <w:rPr>
          <w:rFonts w:hint="eastAsia"/>
          <w:kern w:val="0"/>
        </w:rPr>
        <w:t>保健師、精神保健福祉士等による精神障害のある人等への訪問相談活動を充実します。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31"/>
        </w:numPr>
        <w:autoSpaceDE w:val="0"/>
        <w:autoSpaceDN w:val="0"/>
        <w:adjustRightInd w:val="0"/>
        <w:spacing w:line="360" w:lineRule="exact"/>
        <w:jc w:val="left"/>
        <w:rPr>
          <w:rFonts w:hint="default"/>
          <w:spacing w:val="-4"/>
          <w:kern w:val="0"/>
        </w:rPr>
      </w:pPr>
      <w:r>
        <w:rPr>
          <w:rFonts w:hint="eastAsia"/>
          <w:kern w:val="0"/>
        </w:rPr>
        <w:t>緊急的な医療相談等に対応できる精神科救急情報センター（精神科救急情報ダイヤル）の機能の充実を図ります。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rPr>
          <w:rFonts w:hint="default"/>
        </w:rPr>
      </w:pPr>
      <w:r>
        <w:rPr>
          <w:rFonts w:hint="eastAsia" w:ascii="ＭＳ ゴシック" w:hAnsi="ＭＳ ゴシック" w:eastAsia="ＭＳ ゴシック"/>
        </w:rPr>
        <w:t>【数値目標】</w:t>
      </w:r>
    </w:p>
    <w:tbl>
      <w:tblPr>
        <w:tblStyle w:val="11"/>
        <w:tblW w:w="9766"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9"/>
        <w:gridCol w:w="4923"/>
        <w:gridCol w:w="2212"/>
        <w:gridCol w:w="2212"/>
      </w:tblGrid>
      <w:tr>
        <w:trPr>
          <w:trHeight w:val="221"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369"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地域生活支援拠点</w:t>
            </w:r>
            <w:r>
              <w:rPr>
                <w:rFonts w:hint="eastAsia"/>
                <w:spacing w:val="-4"/>
                <w:kern w:val="0"/>
                <w:vertAlign w:val="superscript"/>
              </w:rPr>
              <w:t>＊</w:t>
            </w:r>
            <w:r>
              <w:rPr>
                <w:rFonts w:hint="eastAsia"/>
              </w:rPr>
              <w:t>等設置数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2020</w:t>
            </w:r>
            <w:r>
              <w:rPr>
                <w:rFonts w:hint="eastAsia"/>
              </w:rPr>
              <w:t>年度）</w:t>
            </w:r>
          </w:p>
          <w:p>
            <w:pPr>
              <w:pStyle w:val="0"/>
              <w:spacing w:line="360" w:lineRule="exact"/>
              <w:jc w:val="center"/>
              <w:rPr>
                <w:rFonts w:hint="default"/>
              </w:rPr>
            </w:pPr>
            <w:r>
              <w:rPr>
                <w:rFonts w:hint="eastAsia"/>
              </w:rPr>
              <w:t>14</w:t>
            </w:r>
            <w:r>
              <w:rPr>
                <w:rFonts w:hint="eastAsia"/>
              </w:rPr>
              <w:t>箇所</w:t>
            </w:r>
          </w:p>
        </w:tc>
        <w:tc>
          <w:tcPr>
            <w:tcW w:w="2189" w:type="dxa"/>
            <w:vAlign w:val="center"/>
          </w:tcPr>
          <w:p>
            <w:pPr>
              <w:pStyle w:val="0"/>
              <w:spacing w:line="360" w:lineRule="exact"/>
              <w:jc w:val="center"/>
              <w:rPr>
                <w:rFonts w:hint="default"/>
              </w:rPr>
            </w:pPr>
            <w:r>
              <w:rPr>
                <w:rFonts w:hint="eastAsia"/>
              </w:rPr>
              <w:t>（</w:t>
            </w:r>
            <w:r>
              <w:rPr>
                <w:rFonts w:hint="eastAsia"/>
              </w:rPr>
              <w:t>2023</w:t>
            </w:r>
            <w:r>
              <w:rPr>
                <w:rFonts w:hint="eastAsia"/>
              </w:rPr>
              <w:t>年度）</w:t>
            </w:r>
          </w:p>
          <w:p>
            <w:pPr>
              <w:pStyle w:val="0"/>
              <w:spacing w:line="360" w:lineRule="exact"/>
              <w:jc w:val="center"/>
              <w:rPr>
                <w:rFonts w:hint="default"/>
              </w:rPr>
            </w:pPr>
            <w:r>
              <w:rPr>
                <w:rFonts w:hint="eastAsia"/>
              </w:rPr>
              <w:t>24</w:t>
            </w:r>
            <w:r>
              <w:rPr>
                <w:rFonts w:hint="eastAsia"/>
              </w:rPr>
              <w:t>箇所</w:t>
            </w:r>
          </w:p>
        </w:tc>
      </w:tr>
    </w:tbl>
    <w:p>
      <w:pPr>
        <w:pStyle w:val="0"/>
        <w:rPr>
          <w:rFonts w:hint="default" w:ascii="ＭＳ ゴシック" w:hAnsi="ＭＳ ゴシック" w:eastAsia="ＭＳ ゴシック"/>
        </w:rPr>
      </w:pPr>
      <w:r>
        <w:rPr>
          <w:rFonts w:hint="default" w:ascii="ＭＳ ゴシック" w:hAnsi="ＭＳ ゴシック" w:eastAsia="ＭＳ ゴシック"/>
        </w:rPr>
        <mc:AlternateContent>
          <mc:Choice Requires="wps">
            <w:drawing>
              <wp:anchor distT="0" distB="0" distL="114300" distR="114300" simplePos="0" relativeHeight="3" behindDoc="0" locked="0" layoutInCell="1" hidden="0" allowOverlap="1">
                <wp:simplePos x="0" y="0"/>
                <wp:positionH relativeFrom="column">
                  <wp:posOffset>1654175</wp:posOffset>
                </wp:positionH>
                <wp:positionV relativeFrom="paragraph">
                  <wp:posOffset>1692910</wp:posOffset>
                </wp:positionV>
                <wp:extent cx="172720" cy="79375"/>
                <wp:effectExtent l="0" t="0" r="635" b="635"/>
                <wp:wrapNone/>
                <wp:docPr id="1090" name="オブジェクト 0"/>
                <a:graphic xmlns:a="http://schemas.openxmlformats.org/drawingml/2006/main">
                  <a:graphicData uri="http://schemas.microsoft.com/office/word/2010/wordprocessingShape">
                    <wps:wsp>
                      <wps:cNvPr id="1090" name="オブジェクト 0"/>
                      <wps:cNvSpPr txBox="1">
                        <a:spLocks noChangeArrowheads="1"/>
                      </wps:cNvSpPr>
                      <wps:spPr>
                        <a:xfrm>
                          <a:off x="0" y="0"/>
                          <a:ext cx="172720" cy="79375"/>
                        </a:xfrm>
                        <a:prstGeom prst="rect">
                          <a:avLst/>
                        </a:prstGeom>
                      </wps:spPr>
                      <wps:txbx>
                        <w:txbxContent>
                          <w:p>
                            <w:pPr>
                              <w:pStyle w:val="0"/>
                              <w:jc w:val="center"/>
                              <w:rPr>
                                <w:rFonts w:hint="default"/>
                              </w:rPr>
                            </w:pPr>
                            <w:r>
                              <w:rPr>
                                <w:rFonts w:hint="default" w:ascii="ＭＳ ゴシック" w:hAnsi="ＭＳ ゴシック" w:eastAsia="ＭＳ ゴシック"/>
                                <w:color w:val="000000"/>
                                <w:sz w:val="16"/>
                              </w:rPr>
                              <w:t>支援</w:t>
                            </w:r>
                          </w:p>
                        </w:txbxContent>
                      </wps:txbx>
                      <wps:bodyPr vertOverflow="overflow" horzOverflow="overflow" wrap="square" numCol="1" fromWordArt="1">
                        <a:prstTxWarp prst="textPlain">
                          <a:avLst/>
                        </a:prstTxWarp>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133.30000000000001pt;mso-position-vertical-relative:text;mso-position-horizontal-relative:text;position:absolute;height:6.25pt;mso-wrap-distance-top:0pt;width:13.6pt;mso-wrap-distance-left:9pt;margin-left:130.25pt;z-index:3;" o:spid="_x0000_s1090" o:allowincell="t" o:allowoverlap="t" filled="f" stroked="f" o:spt="202" type="#_x0000_t202">
                <v:fill/>
                <v:textbox style="layout-flow:horizontal;mso-fit-shape-to-text:t;">
                  <w:txbxContent>
                    <w:p>
                      <w:pPr>
                        <w:pStyle w:val="0"/>
                        <w:jc w:val="center"/>
                        <w:rPr>
                          <w:rFonts w:hint="default"/>
                        </w:rPr>
                      </w:pPr>
                      <w:r>
                        <w:rPr>
                          <w:rFonts w:hint="default" w:ascii="ＭＳ ゴシック" w:hAnsi="ＭＳ ゴシック" w:eastAsia="ＭＳ ゴシック"/>
                          <w:color w:val="000000"/>
                          <w:sz w:val="16"/>
                        </w:rPr>
                        <w:t>支援</w:t>
                      </w:r>
                    </w:p>
                  </w:txbxContent>
                </v:textbox>
                <v:imagedata o:title=""/>
                <w10:wrap type="none" anchorx="text" anchory="text"/>
              </v:shape>
            </w:pict>
          </mc:Fallback>
        </mc:AlternateContent>
      </w:r>
      <w:r>
        <w:rPr>
          <w:rFonts w:hint="default" w:ascii="ＭＳ ゴシック" w:hAnsi="ＭＳ ゴシック" w:eastAsia="ＭＳ ゴシック"/>
        </w:rPr>
        <mc:AlternateContent>
          <mc:Choice Requires="wps">
            <w:drawing>
              <wp:anchor distT="0" distB="0" distL="114300" distR="114300" simplePos="0" relativeHeight="4" behindDoc="0" locked="0" layoutInCell="1" hidden="0" allowOverlap="1">
                <wp:simplePos x="0" y="0"/>
                <wp:positionH relativeFrom="column">
                  <wp:posOffset>1654175</wp:posOffset>
                </wp:positionH>
                <wp:positionV relativeFrom="paragraph">
                  <wp:posOffset>1675130</wp:posOffset>
                </wp:positionV>
                <wp:extent cx="182245" cy="112395"/>
                <wp:effectExtent l="0" t="0" r="635" b="635"/>
                <wp:wrapNone/>
                <wp:docPr id="1091" name="オブジェクト 0"/>
                <a:graphic xmlns:a="http://schemas.openxmlformats.org/drawingml/2006/main">
                  <a:graphicData uri="http://schemas.microsoft.com/office/word/2010/wordprocessingShape">
                    <wps:wsp>
                      <wps:cNvPr id="1091" name="オブジェクト 0"/>
                      <wps:cNvSpPr>
                        <a:spLocks noChangeArrowheads="1"/>
                      </wps:cNvSpPr>
                      <wps:spPr>
                        <a:xfrm>
                          <a:off x="0" y="0"/>
                          <a:ext cx="182245" cy="112395"/>
                        </a:xfrm>
                        <a:prstGeom prst="rect">
                          <a:avLst/>
                        </a:prstGeom>
                        <a:solidFill>
                          <a:srgbClr val="FFFFFF"/>
                        </a:solidFill>
                        <a:ln>
                          <a:miter/>
                        </a:ln>
                      </wps:spPr>
                      <wps:bodyPr/>
                    </wps:wsp>
                  </a:graphicData>
                </a:graphic>
              </wp:anchor>
            </w:drawing>
          </mc:Choice>
          <mc:Fallback>
            <w:pict>
              <v:rect id="オブジェクト 0" style="mso-wrap-distance-right:9pt;mso-wrap-distance-bottom:0pt;margin-top:131.9pt;mso-position-vertical-relative:text;mso-position-horizontal-relative:text;position:absolute;height:8.85pt;mso-wrap-distance-top:0pt;width:14.35pt;mso-wrap-distance-left:9pt;margin-left:130.25pt;z-index:4;" o:spid="_x0000_s1091" o:allowincell="t" o:allowoverlap="t" filled="t" fillcolor="#ffffff" stroked="f" o:spt="1">
                <v:fill/>
                <v:textbox style="layout-flow:horizontal;"/>
                <v:imagedata o:title=""/>
                <w10:wrap type="none" anchorx="text" anchory="text"/>
              </v:rect>
            </w:pict>
          </mc:Fallback>
        </mc:AlternateContent>
      </w:r>
      <w:bookmarkStart w:id="96" w:name="_Toc503474055"/>
    </w:p>
    <w:p>
      <w:pPr>
        <w:pStyle w:val="0"/>
        <w:rPr>
          <w:rFonts w:hint="default" w:ascii="ＭＳ ゴシック" w:hAnsi="ＭＳ ゴシック" w:eastAsia="ＭＳ ゴシック"/>
        </w:rPr>
      </w:pPr>
      <w:r>
        <w:rPr>
          <w:rFonts w:hint="eastAsia"/>
        </w:rPr>
        <w:drawing>
          <wp:anchor distT="0" distB="0" distL="203200" distR="203200" simplePos="0" relativeHeight="7" behindDoc="0" locked="0" layoutInCell="1" hidden="0" allowOverlap="1">
            <wp:simplePos x="0" y="0"/>
            <wp:positionH relativeFrom="column">
              <wp:posOffset>453390</wp:posOffset>
            </wp:positionH>
            <wp:positionV relativeFrom="paragraph">
              <wp:posOffset>43180</wp:posOffset>
            </wp:positionV>
            <wp:extent cx="5524500" cy="4686300"/>
            <wp:effectExtent l="0" t="0" r="0" b="0"/>
            <wp:wrapSquare wrapText="bothSides"/>
            <wp:docPr id="1092" name="オブジェクト 0"/>
            <a:graphic xmlns:a="http://schemas.openxmlformats.org/drawingml/2006/main">
              <a:graphicData uri="http://schemas.openxmlformats.org/drawingml/2006/picture">
                <pic:pic xmlns:pic="http://schemas.openxmlformats.org/drawingml/2006/picture">
                  <pic:nvPicPr>
                    <pic:cNvPr id="1092" name="オブジェクト 0"/>
                    <pic:cNvPicPr>
                      <a:picLocks noChangeAspect="1"/>
                    </pic:cNvPicPr>
                  </pic:nvPicPr>
                  <pic:blipFill>
                    <a:blip r:embed="rId34"/>
                    <a:stretch>
                      <a:fillRect/>
                    </a:stretch>
                  </pic:blipFill>
                  <pic:spPr>
                    <a:xfrm>
                      <a:off x="0" y="0"/>
                      <a:ext cx="5524500" cy="4686300"/>
                    </a:xfrm>
                    <a:prstGeom prst="rect">
                      <a:avLst/>
                    </a:prstGeom>
                    <a:noFill/>
                    <a:ln>
                      <a:miter/>
                    </a:ln>
                  </pic:spPr>
                </pic:pic>
              </a:graphicData>
            </a:graphic>
          </wp:anchor>
        </w:drawing>
      </w:r>
      <w:r>
        <w:rPr>
          <w:rFonts w:hint="eastAsia"/>
        </w:rPr>
        <w:br w:type="page"/>
      </w:r>
      <w:r>
        <w:rPr>
          <w:rFonts w:hint="eastAsia" w:ascii="ＭＳ ゴシック" w:hAnsi="ＭＳ ゴシック" w:eastAsia="ＭＳ ゴシック"/>
        </w:rPr>
        <w:t>（２）相談支援従事者等の人材育成</w:t>
      </w:r>
      <w:bookmarkEnd w:id="96"/>
    </w:p>
    <w:p>
      <w:pPr>
        <w:pStyle w:val="0"/>
        <w:rPr>
          <w:rFonts w:hint="default"/>
        </w:rPr>
      </w:pPr>
      <w:r>
        <w:rPr>
          <w:rFonts w:hint="eastAsia" w:ascii="ＭＳ ゴシック" w:hAnsi="ＭＳ ゴシック" w:eastAsia="ＭＳ ゴシック"/>
        </w:rPr>
        <w:t>【現状と課題】</w:t>
      </w:r>
    </w:p>
    <w:p>
      <w:pPr>
        <w:pStyle w:val="0"/>
        <w:numPr>
          <w:ilvl w:val="0"/>
          <w:numId w:val="32"/>
        </w:numPr>
        <w:autoSpaceDE w:val="0"/>
        <w:autoSpaceDN w:val="0"/>
        <w:adjustRightInd w:val="0"/>
        <w:spacing w:line="360" w:lineRule="exact"/>
        <w:jc w:val="left"/>
        <w:rPr>
          <w:rFonts w:hint="default"/>
        </w:rPr>
      </w:pPr>
      <w:r>
        <w:rPr>
          <w:rFonts w:hint="eastAsia"/>
        </w:rPr>
        <w:t>障害のある人の様々なニーズに対応し、障害福祉サービスを適切に提供するためには、支援計画を作成する相談支援専門員</w:t>
      </w:r>
      <w:r>
        <w:rPr>
          <w:rFonts w:hint="eastAsia"/>
          <w:spacing w:val="-4"/>
          <w:kern w:val="0"/>
          <w:vertAlign w:val="superscript"/>
        </w:rPr>
        <w:t>＊</w:t>
      </w:r>
      <w:r>
        <w:rPr>
          <w:rFonts w:hint="eastAsia"/>
        </w:rPr>
        <w:t>、サービス管理責任者</w:t>
      </w:r>
      <w:r>
        <w:rPr>
          <w:rFonts w:hint="eastAsia"/>
          <w:color w:val="000000" w:themeColor="text1"/>
          <w:spacing w:val="-4"/>
          <w:kern w:val="0"/>
          <w:vertAlign w:val="superscript"/>
        </w:rPr>
        <w:t>＊</w:t>
      </w:r>
      <w:r>
        <w:rPr>
          <w:rFonts w:hint="eastAsia"/>
        </w:rPr>
        <w:t>等の養成と資質向上を図ることが必要です。</w:t>
      </w:r>
    </w:p>
    <w:p>
      <w:pPr>
        <w:pStyle w:val="0"/>
        <w:autoSpaceDE w:val="0"/>
        <w:autoSpaceDN w:val="0"/>
        <w:adjustRightInd w:val="0"/>
        <w:spacing w:line="360" w:lineRule="exact"/>
        <w:ind w:left="576"/>
        <w:jc w:val="left"/>
        <w:rPr>
          <w:rFonts w:hint="default"/>
        </w:rPr>
      </w:pPr>
    </w:p>
    <w:p>
      <w:pPr>
        <w:pStyle w:val="0"/>
        <w:numPr>
          <w:ilvl w:val="0"/>
          <w:numId w:val="29"/>
        </w:numPr>
        <w:autoSpaceDE w:val="0"/>
        <w:autoSpaceDN w:val="0"/>
        <w:adjustRightInd w:val="0"/>
        <w:spacing w:line="360" w:lineRule="exact"/>
        <w:jc w:val="left"/>
        <w:rPr>
          <w:rFonts w:hint="default"/>
          <w:b w:val="1"/>
        </w:rPr>
      </w:pPr>
      <w:r>
        <w:rPr>
          <w:rFonts w:hint="eastAsia"/>
        </w:rPr>
        <w:t>近年は、特に就労系及び児童通所系のサービス事業者が増加しており、これらのサービスの質を確保するために、適切なスキルを持った人材の養成が必要となっています。また、障害のある人の高齢化及び重度化の進展に伴い、より高い専門性を持つ人材の養成が必要となっています。</w:t>
      </w:r>
    </w:p>
    <w:p>
      <w:pPr>
        <w:pStyle w:val="0"/>
        <w:autoSpaceDE w:val="0"/>
        <w:autoSpaceDN w:val="0"/>
        <w:adjustRightInd w:val="0"/>
        <w:spacing w:line="360" w:lineRule="exact"/>
        <w:ind w:left="576"/>
        <w:jc w:val="left"/>
        <w:rPr>
          <w:rFonts w:hint="default"/>
          <w:b w:val="1"/>
        </w:rPr>
      </w:pPr>
    </w:p>
    <w:p>
      <w:pPr>
        <w:pStyle w:val="0"/>
        <w:numPr>
          <w:ilvl w:val="0"/>
          <w:numId w:val="29"/>
        </w:numPr>
        <w:autoSpaceDE w:val="0"/>
        <w:autoSpaceDN w:val="0"/>
        <w:adjustRightInd w:val="0"/>
        <w:spacing w:line="360" w:lineRule="exact"/>
        <w:jc w:val="left"/>
        <w:rPr>
          <w:rFonts w:hint="default"/>
          <w:b w:val="1"/>
        </w:rPr>
      </w:pPr>
      <w:r>
        <w:rPr>
          <w:rFonts w:hint="eastAsia"/>
        </w:rPr>
        <w:t>障害により明確な意思表示ができない方についても、可能な限り意思疎通手段を確保し、本人の意思を尊重できる支援者を育成することが必要です。</w:t>
      </w:r>
    </w:p>
    <w:p>
      <w:pPr>
        <w:pStyle w:val="0"/>
        <w:autoSpaceDE w:val="0"/>
        <w:autoSpaceDN w:val="0"/>
        <w:adjustRightInd w:val="0"/>
        <w:spacing w:line="360" w:lineRule="exact"/>
        <w:ind w:left="576"/>
        <w:jc w:val="left"/>
        <w:rPr>
          <w:rFonts w:hint="default"/>
          <w:b w:val="1"/>
        </w:rPr>
      </w:pPr>
    </w:p>
    <w:p>
      <w:pPr>
        <w:pStyle w:val="0"/>
        <w:numPr>
          <w:ilvl w:val="0"/>
          <w:numId w:val="29"/>
        </w:numPr>
        <w:autoSpaceDE w:val="0"/>
        <w:autoSpaceDN w:val="0"/>
        <w:adjustRightInd w:val="0"/>
        <w:spacing w:line="360" w:lineRule="exact"/>
        <w:jc w:val="left"/>
        <w:rPr>
          <w:rFonts w:hint="default"/>
          <w:b w:val="1"/>
        </w:rPr>
      </w:pPr>
      <w:r>
        <w:rPr>
          <w:rFonts w:hint="eastAsia"/>
          <w:kern w:val="0"/>
        </w:rPr>
        <w:t>多様な障害特性やライフステージに応じた相談支援ができる人材の育成が必要となっています。</w:t>
      </w:r>
    </w:p>
    <w:p>
      <w:pPr>
        <w:pStyle w:val="0"/>
        <w:autoSpaceDE w:val="0"/>
        <w:autoSpaceDN w:val="0"/>
        <w:adjustRightInd w:val="0"/>
        <w:jc w:val="left"/>
        <w:rPr>
          <w:rFonts w:hint="default"/>
        </w:rPr>
      </w:pPr>
    </w:p>
    <w:p>
      <w:pPr>
        <w:pStyle w:val="0"/>
        <w:autoSpaceDE w:val="0"/>
        <w:autoSpaceDN w:val="0"/>
        <w:adjustRightInd w:val="0"/>
        <w:jc w:val="left"/>
        <w:rPr>
          <w:rFonts w:hint="default"/>
        </w:rPr>
      </w:pPr>
      <w:r>
        <w:rPr>
          <w:rFonts w:hint="eastAsia" w:ascii="ＭＳ ゴシック" w:hAnsi="ＭＳ ゴシック" w:eastAsia="ＭＳ ゴシック"/>
        </w:rPr>
        <w:t>【県の取組】</w:t>
      </w:r>
    </w:p>
    <w:p>
      <w:pPr>
        <w:pStyle w:val="0"/>
        <w:numPr>
          <w:ilvl w:val="0"/>
          <w:numId w:val="33"/>
        </w:numPr>
        <w:autoSpaceDE w:val="0"/>
        <w:autoSpaceDN w:val="0"/>
        <w:adjustRightInd w:val="0"/>
        <w:spacing w:line="360" w:lineRule="exact"/>
        <w:jc w:val="left"/>
        <w:rPr>
          <w:rFonts w:hint="default"/>
          <w:spacing w:val="-4"/>
          <w:kern w:val="0"/>
          <w:sz w:val="16"/>
        </w:rPr>
      </w:pPr>
      <w:r>
        <w:rPr>
          <w:rFonts w:hint="eastAsia"/>
          <w:kern w:val="0"/>
        </w:rPr>
        <w:t>静岡県障害福祉人材育成ビジョンに基づき、質の高いケアマネジメントを含むソーシャルワークを実践できる相談支援専門員</w:t>
      </w:r>
      <w:r>
        <w:rPr>
          <w:rFonts w:hint="eastAsia"/>
          <w:spacing w:val="-4"/>
          <w:kern w:val="0"/>
          <w:vertAlign w:val="superscript"/>
        </w:rPr>
        <w:t>＊</w:t>
      </w:r>
      <w:r>
        <w:rPr>
          <w:rFonts w:hint="eastAsia"/>
          <w:kern w:val="0"/>
        </w:rPr>
        <w:t>や、相談支援に関して指導的な役割を担う人材となる主任相談支援専門員を養成するための研修を実施します。</w:t>
      </w:r>
      <w:r>
        <w:rPr>
          <w:rFonts w:hint="eastAsia"/>
          <w:kern w:val="0"/>
          <w:u w:val="none" w:color="auto"/>
        </w:rPr>
        <w:t>また、専門コース別研修を実施し、質の高い相談支援を推進します。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sz w:val="16"/>
        </w:rPr>
      </w:pPr>
    </w:p>
    <w:p>
      <w:pPr>
        <w:pStyle w:val="0"/>
        <w:numPr>
          <w:ilvl w:val="0"/>
          <w:numId w:val="33"/>
        </w:numPr>
        <w:autoSpaceDE w:val="0"/>
        <w:autoSpaceDN w:val="0"/>
        <w:adjustRightInd w:val="0"/>
        <w:spacing w:line="360" w:lineRule="exact"/>
        <w:jc w:val="left"/>
        <w:rPr>
          <w:rFonts w:hint="default"/>
          <w:spacing w:val="-4"/>
          <w:kern w:val="0"/>
        </w:rPr>
      </w:pPr>
      <w:r>
        <w:rPr>
          <w:rFonts w:hint="eastAsia"/>
          <w:kern w:val="0"/>
        </w:rPr>
        <w:t>障害福祉サービス等の支援方針に関して重要な役割を担うサービス管理責任者</w:t>
      </w:r>
      <w:r>
        <w:rPr>
          <w:rFonts w:hint="eastAsia"/>
          <w:color w:val="000000" w:themeColor="text1"/>
          <w:spacing w:val="-4"/>
          <w:kern w:val="0"/>
          <w:vertAlign w:val="superscript"/>
        </w:rPr>
        <w:t>＊</w:t>
      </w:r>
      <w:r>
        <w:rPr>
          <w:rFonts w:hint="eastAsia"/>
          <w:kern w:val="0"/>
        </w:rPr>
        <w:t>及び児童発達支援管理責任者</w:t>
      </w:r>
      <w:r>
        <w:rPr>
          <w:rFonts w:hint="eastAsia"/>
          <w:color w:val="000000" w:themeColor="text1"/>
          <w:spacing w:val="-4"/>
          <w:kern w:val="0"/>
          <w:vertAlign w:val="superscript"/>
        </w:rPr>
        <w:t>＊</w:t>
      </w:r>
      <w:r>
        <w:rPr>
          <w:rFonts w:hint="eastAsia"/>
          <w:kern w:val="0"/>
        </w:rPr>
        <w:t>を養成するための研修を実施します。</w:t>
      </w:r>
      <w:r>
        <w:rPr>
          <w:rFonts w:hint="eastAsia"/>
          <w:kern w:val="0"/>
          <w:u w:val="none" w:color="auto"/>
        </w:rPr>
        <w:t>また、スキルアップ研修を実施し、サービスの質の向上に努めます。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33"/>
        </w:numPr>
        <w:autoSpaceDE w:val="0"/>
        <w:autoSpaceDN w:val="0"/>
        <w:adjustRightInd w:val="0"/>
        <w:spacing w:line="360" w:lineRule="exact"/>
        <w:jc w:val="left"/>
        <w:rPr>
          <w:rFonts w:hint="default"/>
          <w:b w:val="1"/>
        </w:rPr>
      </w:pPr>
      <w:r>
        <w:rPr>
          <w:rFonts w:hint="eastAsia"/>
        </w:rPr>
        <w:t>相談支援専門員</w:t>
      </w:r>
      <w:r>
        <w:rPr>
          <w:rFonts w:hint="eastAsia"/>
          <w:spacing w:val="-4"/>
          <w:kern w:val="0"/>
          <w:vertAlign w:val="superscript"/>
        </w:rPr>
        <w:t>＊</w:t>
      </w:r>
      <w:r>
        <w:rPr>
          <w:rFonts w:hint="eastAsia"/>
        </w:rPr>
        <w:t>、サービス管理責任者</w:t>
      </w:r>
      <w:r>
        <w:rPr>
          <w:rFonts w:hint="eastAsia"/>
          <w:color w:val="000000" w:themeColor="text1"/>
          <w:spacing w:val="-4"/>
          <w:kern w:val="0"/>
          <w:vertAlign w:val="superscript"/>
        </w:rPr>
        <w:t>＊</w:t>
      </w:r>
      <w:r>
        <w:rPr>
          <w:rFonts w:hint="eastAsia"/>
        </w:rPr>
        <w:t>等の養成に際しては、障害により明確な意思表示ができない方についての意思決定支援や虐待防止に関するカリキュラムを実施します。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b w:val="1"/>
        </w:rPr>
      </w:pPr>
    </w:p>
    <w:p>
      <w:pPr>
        <w:pStyle w:val="0"/>
        <w:numPr>
          <w:ilvl w:val="0"/>
          <w:numId w:val="33"/>
        </w:numPr>
        <w:autoSpaceDE w:val="0"/>
        <w:autoSpaceDN w:val="0"/>
        <w:adjustRightInd w:val="0"/>
        <w:spacing w:line="360" w:lineRule="exact"/>
        <w:jc w:val="left"/>
        <w:rPr>
          <w:rFonts w:hint="default"/>
          <w:spacing w:val="-4"/>
          <w:kern w:val="0"/>
        </w:rPr>
      </w:pPr>
      <w:r>
        <w:rPr>
          <w:rFonts w:hint="eastAsia"/>
          <w:kern w:val="0"/>
        </w:rPr>
        <w:t>身体障害者相談員</w:t>
      </w:r>
      <w:r>
        <w:rPr>
          <w:rFonts w:hint="eastAsia"/>
          <w:spacing w:val="-4"/>
          <w:kern w:val="0"/>
          <w:vertAlign w:val="superscript"/>
        </w:rPr>
        <w:t>＊</w:t>
      </w:r>
      <w:r>
        <w:rPr>
          <w:rFonts w:hint="eastAsia"/>
          <w:kern w:val="0"/>
        </w:rPr>
        <w:t>や知的障害者相談員</w:t>
      </w:r>
      <w:r>
        <w:rPr>
          <w:rFonts w:hint="eastAsia"/>
          <w:spacing w:val="-4"/>
          <w:kern w:val="0"/>
          <w:vertAlign w:val="superscript"/>
        </w:rPr>
        <w:t>＊</w:t>
      </w:r>
      <w:r>
        <w:rPr>
          <w:rFonts w:hint="eastAsia"/>
          <w:kern w:val="0"/>
        </w:rPr>
        <w:t>、民生委員・児童委員</w:t>
      </w:r>
      <w:r>
        <w:rPr>
          <w:rFonts w:hint="eastAsia"/>
          <w:spacing w:val="-4"/>
          <w:kern w:val="0"/>
          <w:vertAlign w:val="superscript"/>
        </w:rPr>
        <w:t>＊</w:t>
      </w:r>
      <w:r>
        <w:rPr>
          <w:rFonts w:hint="eastAsia"/>
          <w:kern w:val="0"/>
        </w:rPr>
        <w:t>に対して、専門知識向上のための研修や情報提供を行い、資質の向上に努めます。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33"/>
        </w:numPr>
        <w:autoSpaceDE w:val="0"/>
        <w:autoSpaceDN w:val="0"/>
        <w:adjustRightInd w:val="0"/>
        <w:spacing w:line="360" w:lineRule="exact"/>
        <w:jc w:val="left"/>
        <w:rPr>
          <w:rFonts w:hint="default"/>
          <w:spacing w:val="-4"/>
          <w:kern w:val="0"/>
        </w:rPr>
      </w:pPr>
      <w:r>
        <w:rPr>
          <w:rFonts w:hint="eastAsia"/>
          <w:kern w:val="0"/>
        </w:rPr>
        <w:t>在宅の重症心身障害児（者）</w:t>
      </w:r>
      <w:r>
        <w:rPr>
          <w:rFonts w:hint="eastAsia"/>
          <w:spacing w:val="-4"/>
          <w:kern w:val="0"/>
          <w:vertAlign w:val="superscript"/>
        </w:rPr>
        <w:t>＊</w:t>
      </w:r>
      <w:r>
        <w:rPr>
          <w:rFonts w:hint="eastAsia"/>
          <w:kern w:val="0"/>
        </w:rPr>
        <w:t>及び医療的ケア児（者）の介護ニーズは、</w:t>
      </w:r>
      <w:r>
        <w:rPr>
          <w:rFonts w:hint="default"/>
          <w:kern w:val="0"/>
        </w:rPr>
        <w:t>24</w:t>
      </w:r>
      <w:r>
        <w:rPr>
          <w:rFonts w:hint="eastAsia"/>
          <w:kern w:val="0"/>
        </w:rPr>
        <w:t>時間対応等の包括的・継続的なサービス提供が不可欠であるため、地域における行政、福祉、教育、医療等の連携を図り、重症心身障害児（者）</w:t>
      </w:r>
      <w:r>
        <w:rPr>
          <w:rFonts w:hint="eastAsia"/>
          <w:spacing w:val="-4"/>
          <w:kern w:val="0"/>
          <w:vertAlign w:val="superscript"/>
        </w:rPr>
        <w:t>＊</w:t>
      </w:r>
      <w:r>
        <w:rPr>
          <w:rFonts w:hint="eastAsia"/>
          <w:kern w:val="0"/>
        </w:rPr>
        <w:t>等を支援するための総合調整を行うコーディネーターを養成します。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33"/>
        </w:numPr>
        <w:autoSpaceDE w:val="0"/>
        <w:autoSpaceDN w:val="0"/>
        <w:adjustRightInd w:val="0"/>
        <w:spacing w:line="360" w:lineRule="exact"/>
        <w:jc w:val="left"/>
        <w:rPr>
          <w:rFonts w:hint="default"/>
        </w:rPr>
      </w:pPr>
      <w:r>
        <w:rPr>
          <w:rFonts w:hint="eastAsia"/>
          <w:kern w:val="0"/>
        </w:rPr>
        <w:t>障害のある人のほか、高齢者、子どもなど家族が抱える様々な課題について、介護・福祉・医療・保健の垣根を越えて相談を受け付け、関係機関が連携して解決できるよう、地域包括支援センター</w:t>
      </w:r>
      <w:r>
        <w:rPr>
          <w:rFonts w:hint="eastAsia"/>
          <w:spacing w:val="-4"/>
          <w:kern w:val="0"/>
          <w:vertAlign w:val="superscript"/>
        </w:rPr>
        <w:t>＊</w:t>
      </w:r>
      <w:r>
        <w:rPr>
          <w:rFonts w:hint="eastAsia"/>
          <w:kern w:val="0"/>
        </w:rPr>
        <w:t>職員のスキルアップを支援します。</w:t>
      </w:r>
      <w:r>
        <w:rPr>
          <w:rFonts w:hint="eastAsia"/>
          <w:sz w:val="16"/>
        </w:rPr>
        <w:t>[</w:t>
      </w:r>
      <w:r>
        <w:rPr>
          <w:rFonts w:hint="eastAsia"/>
          <w:spacing w:val="-4"/>
          <w:kern w:val="0"/>
          <w:sz w:val="16"/>
        </w:rPr>
        <w:t>健康福祉部</w:t>
      </w:r>
      <w:r>
        <w:rPr>
          <w:rFonts w:hint="eastAsia"/>
          <w:sz w:val="16"/>
        </w:rPr>
        <w:t>福祉長寿局</w:t>
      </w:r>
      <w:r>
        <w:rPr>
          <w:rFonts w:hint="eastAsia"/>
          <w:sz w:val="16"/>
        </w:rPr>
        <w:t>]</w:t>
      </w:r>
    </w:p>
    <w:p>
      <w:pPr>
        <w:pStyle w:val="0"/>
        <w:autoSpaceDE w:val="0"/>
        <w:autoSpaceDN w:val="0"/>
        <w:adjustRightInd w:val="0"/>
        <w:jc w:val="left"/>
        <w:rPr>
          <w:rFonts w:hint="default"/>
        </w:rPr>
      </w:pPr>
    </w:p>
    <w:p>
      <w:pPr>
        <w:pStyle w:val="0"/>
        <w:autoSpaceDE w:val="0"/>
        <w:autoSpaceDN w:val="0"/>
        <w:adjustRightInd w:val="0"/>
        <w:jc w:val="left"/>
        <w:rPr>
          <w:rFonts w:hint="default"/>
        </w:rPr>
      </w:pPr>
      <w:r>
        <w:rPr>
          <w:rFonts w:hint="eastAsia" w:ascii="ＭＳ ゴシック" w:hAnsi="ＭＳ ゴシック" w:eastAsia="ＭＳ ゴシック"/>
        </w:rPr>
        <w:t>【数値目標】</w:t>
      </w:r>
    </w:p>
    <w:tbl>
      <w:tblPr>
        <w:tblStyle w:val="11"/>
        <w:tblW w:w="9668"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4"/>
        <w:gridCol w:w="4874"/>
        <w:gridCol w:w="2190"/>
        <w:gridCol w:w="2190"/>
      </w:tblGrid>
      <w:tr>
        <w:trPr>
          <w:trHeight w:val="272"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rPr>
                <w:rFonts w:hint="default"/>
              </w:rPr>
            </w:pPr>
          </w:p>
        </w:tc>
      </w:tr>
      <w:tr>
        <w:trPr>
          <w:trHeight w:val="521"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相談支援専門員</w:t>
            </w:r>
            <w:r>
              <w:rPr>
                <w:rFonts w:hint="eastAsia"/>
                <w:spacing w:val="-4"/>
                <w:kern w:val="0"/>
                <w:vertAlign w:val="superscript"/>
              </w:rPr>
              <w:t>＊</w:t>
            </w:r>
            <w:r>
              <w:rPr>
                <w:rFonts w:hint="eastAsia"/>
              </w:rPr>
              <w:t>養成数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2020</w:t>
            </w:r>
            <w:r>
              <w:rPr>
                <w:rFonts w:hint="eastAsia"/>
              </w:rPr>
              <w:t>年度）</w:t>
            </w:r>
          </w:p>
          <w:p>
            <w:pPr>
              <w:pStyle w:val="0"/>
              <w:spacing w:line="360" w:lineRule="exact"/>
              <w:jc w:val="center"/>
              <w:rPr>
                <w:rFonts w:hint="default"/>
              </w:rPr>
            </w:pPr>
            <w:r>
              <w:rPr>
                <w:rFonts w:hint="eastAsia"/>
              </w:rPr>
              <w:t>85</w:t>
            </w:r>
            <w:r>
              <w:rPr>
                <w:rFonts w:hint="eastAsia"/>
              </w:rPr>
              <w:t>人</w:t>
            </w:r>
          </w:p>
        </w:tc>
        <w:tc>
          <w:tcPr>
            <w:tcW w:w="2189" w:type="dxa"/>
            <w:vAlign w:val="center"/>
          </w:tcPr>
          <w:p>
            <w:pPr>
              <w:pStyle w:val="0"/>
              <w:spacing w:line="360" w:lineRule="exact"/>
              <w:jc w:val="center"/>
              <w:rPr>
                <w:rFonts w:hint="default"/>
              </w:rPr>
            </w:pPr>
            <w:r>
              <w:rPr>
                <w:rFonts w:hint="eastAsia"/>
              </w:rPr>
              <w:t>毎年度</w:t>
            </w:r>
            <w:r>
              <w:rPr>
                <w:rFonts w:hint="eastAsia"/>
              </w:rPr>
              <w:t>120</w:t>
            </w:r>
            <w:r>
              <w:rPr>
                <w:rFonts w:hint="eastAsia"/>
              </w:rPr>
              <w:t>人</w:t>
            </w:r>
          </w:p>
        </w:tc>
      </w:tr>
    </w:tbl>
    <w:p>
      <w:pPr>
        <w:pStyle w:val="0"/>
        <w:rPr>
          <w:rFonts w:hint="default" w:ascii="ＭＳ ゴシック" w:hAnsi="ＭＳ ゴシック" w:eastAsia="ＭＳ ゴシック"/>
          <w:sz w:val="26"/>
          <w:u w:val="single" w:color="auto"/>
        </w:rPr>
      </w:pPr>
      <w:r>
        <w:rPr>
          <w:rFonts w:hint="eastAsia"/>
        </w:rPr>
        <w:br w:type="page"/>
      </w:r>
      <w:bookmarkStart w:id="97" w:name="_Toc503474056"/>
      <w:r>
        <w:rPr>
          <w:rFonts w:hint="eastAsia" w:ascii="ＭＳ ゴシック" w:hAnsi="ＭＳ ゴシック" w:eastAsia="ＭＳ ゴシック"/>
          <w:sz w:val="26"/>
          <w:u w:val="single" w:color="auto"/>
        </w:rPr>
        <w:t>２　暮らしを支える福祉サービスの充実</w:t>
      </w:r>
      <w:bookmarkEnd w:id="97"/>
    </w:p>
    <w:p>
      <w:pPr>
        <w:pStyle w:val="0"/>
        <w:outlineLvl w:val="2"/>
        <w:rPr>
          <w:rFonts w:hint="default"/>
        </w:rPr>
      </w:pPr>
      <w:bookmarkStart w:id="98" w:name="_Toc503474057"/>
      <w:r>
        <w:rPr>
          <w:rFonts w:hint="eastAsia" w:ascii="ＭＳ ゴシック" w:hAnsi="ＭＳ ゴシック" w:eastAsia="ＭＳ ゴシック"/>
        </w:rPr>
        <w:t>（１）地域</w:t>
      </w:r>
      <w:bookmarkEnd w:id="98"/>
      <w:r>
        <w:rPr>
          <w:rFonts w:hint="eastAsia" w:ascii="ＭＳ ゴシック" w:hAnsi="ＭＳ ゴシック" w:eastAsia="ＭＳ ゴシック"/>
        </w:rPr>
        <w:t>での支え合い活動の推進</w:t>
      </w:r>
    </w:p>
    <w:p>
      <w:pPr>
        <w:pStyle w:val="0"/>
        <w:rPr>
          <w:rFonts w:hint="default"/>
        </w:rPr>
      </w:pPr>
      <w:r>
        <w:rPr>
          <w:rFonts w:hint="eastAsia" w:ascii="ＭＳ ゴシック" w:hAnsi="ＭＳ ゴシック" w:eastAsia="ＭＳ ゴシック"/>
        </w:rPr>
        <w:t>【現状と課題】</w:t>
      </w:r>
    </w:p>
    <w:p>
      <w:pPr>
        <w:pStyle w:val="0"/>
        <w:numPr>
          <w:ilvl w:val="0"/>
          <w:numId w:val="34"/>
        </w:numPr>
        <w:autoSpaceDE w:val="0"/>
        <w:autoSpaceDN w:val="0"/>
        <w:adjustRightInd w:val="0"/>
        <w:spacing w:line="360" w:lineRule="exact"/>
        <w:jc w:val="left"/>
        <w:rPr>
          <w:rFonts w:hint="default"/>
        </w:rPr>
      </w:pPr>
      <w:r>
        <w:rPr>
          <w:rFonts w:hint="eastAsia"/>
          <w:kern w:val="0"/>
        </w:rPr>
        <w:t>「障害のある方の実態調査」（</w:t>
      </w:r>
      <w:r>
        <w:rPr>
          <w:rFonts w:hint="eastAsia"/>
          <w:kern w:val="0"/>
        </w:rPr>
        <w:t>2020</w:t>
      </w:r>
      <w:r>
        <w:rPr>
          <w:rFonts w:hint="eastAsia"/>
          <w:kern w:val="0"/>
        </w:rPr>
        <w:t>年度）によると、障害者支援施設等に入所・入院している人のうち</w:t>
      </w:r>
      <w:r>
        <w:rPr>
          <w:rFonts w:hint="eastAsia"/>
          <w:kern w:val="0"/>
        </w:rPr>
        <w:t>24.9%</w:t>
      </w:r>
      <w:r>
        <w:rPr>
          <w:rFonts w:hint="eastAsia"/>
          <w:kern w:val="0"/>
        </w:rPr>
        <w:t>が、今後施設以外で暮らすために必要なこととして、「地域住民の障害者への理解」と回答しています。</w:t>
      </w:r>
    </w:p>
    <w:p>
      <w:pPr>
        <w:pStyle w:val="0"/>
        <w:autoSpaceDE w:val="0"/>
        <w:autoSpaceDN w:val="0"/>
        <w:adjustRightInd w:val="0"/>
        <w:spacing w:line="360" w:lineRule="exact"/>
        <w:ind w:left="576"/>
        <w:jc w:val="left"/>
        <w:rPr>
          <w:rFonts w:hint="default"/>
        </w:rPr>
      </w:pPr>
    </w:p>
    <w:p>
      <w:pPr>
        <w:pStyle w:val="0"/>
        <w:numPr>
          <w:ilvl w:val="0"/>
          <w:numId w:val="35"/>
        </w:numPr>
        <w:autoSpaceDE w:val="0"/>
        <w:autoSpaceDN w:val="0"/>
        <w:adjustRightInd w:val="0"/>
        <w:spacing w:line="360" w:lineRule="exact"/>
        <w:jc w:val="left"/>
        <w:rPr>
          <w:rFonts w:hint="default"/>
        </w:rPr>
      </w:pPr>
      <w:r>
        <w:rPr>
          <w:rFonts w:hint="eastAsia"/>
        </w:rPr>
        <w:t>障害のある人、高齢者、子ども、生活困窮者等、全ての人が世代やその背景を問わず、一人ひとりの個性や多様性を尊重し認め合いながら、人と人、人と社会がつながり、役割や生きがいを持って社会に参加し、誰もが支え、支えられる地域共生社会の実現が求められています。</w:t>
      </w:r>
    </w:p>
    <w:p>
      <w:pPr>
        <w:pStyle w:val="0"/>
        <w:autoSpaceDE w:val="0"/>
        <w:autoSpaceDN w:val="0"/>
        <w:adjustRightInd w:val="0"/>
        <w:spacing w:line="360" w:lineRule="exact"/>
        <w:ind w:left="576"/>
        <w:jc w:val="left"/>
        <w:rPr>
          <w:rFonts w:hint="default"/>
        </w:rPr>
      </w:pPr>
    </w:p>
    <w:p>
      <w:pPr>
        <w:pStyle w:val="0"/>
        <w:numPr>
          <w:ilvl w:val="0"/>
          <w:numId w:val="29"/>
        </w:numPr>
        <w:autoSpaceDE w:val="0"/>
        <w:autoSpaceDN w:val="0"/>
        <w:adjustRightInd w:val="0"/>
        <w:spacing w:line="360" w:lineRule="exact"/>
        <w:jc w:val="left"/>
        <w:rPr>
          <w:rFonts w:hint="default"/>
        </w:rPr>
      </w:pPr>
      <w:r>
        <w:rPr>
          <w:rFonts w:hint="eastAsia"/>
          <w:kern w:val="0"/>
        </w:rPr>
        <w:t>個人や世帯が抱える生活課題が多様化・複雑化する中、高齢者福祉、障害者福祉、児童福祉など分野を越えた支援に加え、地域住民がこれらの人をコミュニティの中で受け入れ、公的な支援などと連携して支えていくことが必要です。</w:t>
      </w:r>
    </w:p>
    <w:p>
      <w:pPr>
        <w:pStyle w:val="0"/>
        <w:autoSpaceDE w:val="0"/>
        <w:autoSpaceDN w:val="0"/>
        <w:adjustRightInd w:val="0"/>
        <w:spacing w:line="360" w:lineRule="exact"/>
        <w:ind w:left="576"/>
        <w:jc w:val="left"/>
        <w:rPr>
          <w:rFonts w:hint="default"/>
        </w:rPr>
      </w:pPr>
    </w:p>
    <w:p>
      <w:pPr>
        <w:pStyle w:val="0"/>
        <w:numPr>
          <w:ilvl w:val="0"/>
          <w:numId w:val="29"/>
        </w:numPr>
        <w:autoSpaceDE w:val="0"/>
        <w:autoSpaceDN w:val="0"/>
        <w:adjustRightInd w:val="0"/>
        <w:spacing w:line="360" w:lineRule="exact"/>
        <w:jc w:val="left"/>
        <w:rPr>
          <w:rFonts w:hint="default"/>
        </w:rPr>
      </w:pPr>
      <w:r>
        <w:rPr>
          <w:rFonts w:hint="eastAsia"/>
          <w:kern w:val="0"/>
        </w:rPr>
        <w:t>障害福祉サービス事業所は、高齢者福祉サービス事業所に比べて数が少ないことから事業所まで通うのが困難といった状況があり、障害のある人が身近な地域で利用できるサービスの充実が求められています。また、</w:t>
      </w:r>
      <w:r>
        <w:rPr>
          <w:rFonts w:hint="eastAsia"/>
          <w:kern w:val="0"/>
        </w:rPr>
        <w:t>2018</w:t>
      </w:r>
      <w:r>
        <w:rPr>
          <w:rFonts w:hint="eastAsia"/>
          <w:kern w:val="0"/>
        </w:rPr>
        <w:t>年度からは障害者と高齢者が共に利用できる「共生型サービス」</w:t>
      </w:r>
      <w:r>
        <w:rPr>
          <w:rFonts w:hint="eastAsia"/>
          <w:color w:val="000000" w:themeColor="text1"/>
          <w:spacing w:val="-4"/>
          <w:kern w:val="0"/>
          <w:vertAlign w:val="superscript"/>
        </w:rPr>
        <w:t>＊</w:t>
      </w:r>
      <w:r>
        <w:rPr>
          <w:rFonts w:hint="eastAsia"/>
          <w:kern w:val="0"/>
        </w:rPr>
        <w:t>が導入されています。</w:t>
      </w:r>
    </w:p>
    <w:p>
      <w:pPr>
        <w:pStyle w:val="0"/>
        <w:autoSpaceDE w:val="0"/>
        <w:autoSpaceDN w:val="0"/>
        <w:adjustRightInd w:val="0"/>
        <w:spacing w:line="360" w:lineRule="exact"/>
        <w:ind w:left="576"/>
        <w:jc w:val="left"/>
        <w:rPr>
          <w:rFonts w:hint="default"/>
        </w:rPr>
      </w:pPr>
    </w:p>
    <w:p>
      <w:pPr>
        <w:pStyle w:val="0"/>
        <w:numPr>
          <w:ilvl w:val="0"/>
          <w:numId w:val="29"/>
        </w:numPr>
        <w:autoSpaceDE w:val="0"/>
        <w:autoSpaceDN w:val="0"/>
        <w:adjustRightInd w:val="0"/>
        <w:spacing w:line="360" w:lineRule="exact"/>
        <w:jc w:val="left"/>
        <w:rPr>
          <w:rFonts w:hint="default"/>
          <w:u w:val="single" w:color="auto"/>
        </w:rPr>
      </w:pPr>
      <w:r>
        <w:rPr>
          <w:rFonts w:hint="eastAsia"/>
          <w:kern w:val="0"/>
        </w:rPr>
        <w:t>障害のある人、高齢者、子どもの相談窓口がそれぞれ分かれていますが、相談を希望する人の中には複合的な問題を抱えている場合があります。よりよい解決のために、複合的な問題を総合的に受け付けることができる体制が必要となっています。</w:t>
      </w:r>
      <w:r>
        <w:rPr>
          <w:rFonts w:hint="eastAsia"/>
        </w:rPr>
        <w:t>　</w:t>
      </w:r>
    </w:p>
    <w:p>
      <w:pPr>
        <w:pStyle w:val="0"/>
        <w:autoSpaceDE w:val="0"/>
        <w:autoSpaceDN w:val="0"/>
        <w:adjustRightInd w:val="0"/>
        <w:spacing w:line="360" w:lineRule="exact"/>
        <w:ind w:left="576"/>
        <w:jc w:val="left"/>
        <w:rPr>
          <w:rFonts w:hint="default"/>
          <w:u w:val="single" w:color="auto"/>
        </w:rPr>
      </w:pPr>
    </w:p>
    <w:p>
      <w:pPr>
        <w:pStyle w:val="0"/>
        <w:numPr>
          <w:ilvl w:val="0"/>
          <w:numId w:val="36"/>
        </w:numPr>
        <w:autoSpaceDE w:val="0"/>
        <w:autoSpaceDN w:val="0"/>
        <w:adjustRightInd w:val="0"/>
        <w:spacing w:line="360" w:lineRule="exact"/>
        <w:jc w:val="left"/>
        <w:rPr>
          <w:rFonts w:hint="default"/>
        </w:rPr>
      </w:pPr>
      <w:r>
        <w:rPr>
          <w:rFonts w:hint="eastAsia"/>
          <w:kern w:val="0"/>
        </w:rPr>
        <w:t>障害のある人が、その人らしい自立した地域生活を実現するためには、地域の創意工夫によるきめ細かな支援が必要であり、市町や自治会をはじめ、社会福祉協議会等の福祉団体、民生委員・児童委員</w:t>
      </w:r>
      <w:r>
        <w:rPr>
          <w:rFonts w:hint="eastAsia"/>
          <w:spacing w:val="-4"/>
          <w:kern w:val="0"/>
          <w:vertAlign w:val="superscript"/>
        </w:rPr>
        <w:t>＊</w:t>
      </w:r>
      <w:r>
        <w:rPr>
          <w:rFonts w:hint="eastAsia"/>
          <w:kern w:val="0"/>
        </w:rPr>
        <w:t>、ＮＰＯ</w:t>
      </w:r>
      <w:r>
        <w:rPr>
          <w:rFonts w:hint="eastAsia"/>
          <w:spacing w:val="-4"/>
          <w:kern w:val="0"/>
          <w:vertAlign w:val="superscript"/>
        </w:rPr>
        <w:t>＊</w:t>
      </w:r>
      <w:r>
        <w:rPr>
          <w:rFonts w:hint="eastAsia"/>
          <w:kern w:val="0"/>
        </w:rPr>
        <w:t>、ボランティア、企業等の多様な主体による地域福祉活動を促進するとともに、その連携を強化し、地域力を向上する必要があります。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spacing w:line="360" w:lineRule="exact"/>
        <w:rPr>
          <w:rFonts w:hint="default"/>
        </w:rPr>
      </w:pPr>
      <w:r>
        <w:rPr>
          <w:rFonts w:hint="eastAsia" w:ascii="ＭＳ ゴシック" w:hAnsi="ＭＳ ゴシック" w:eastAsia="ＭＳ ゴシック"/>
        </w:rPr>
        <w:t>ア　ふじのくに型福祉サービス</w:t>
      </w:r>
      <w:r>
        <w:rPr>
          <w:rFonts w:hint="eastAsia"/>
          <w:spacing w:val="-4"/>
          <w:kern w:val="0"/>
          <w:vertAlign w:val="superscript"/>
        </w:rPr>
        <w:t>＊</w:t>
      </w:r>
      <w:r>
        <w:rPr>
          <w:rFonts w:hint="eastAsia" w:ascii="ＭＳ ゴシック" w:hAnsi="ＭＳ ゴシック" w:eastAsia="ＭＳ ゴシック"/>
        </w:rPr>
        <w:t>の推進</w:t>
      </w:r>
    </w:p>
    <w:p>
      <w:pPr>
        <w:pStyle w:val="0"/>
        <w:numPr>
          <w:ilvl w:val="0"/>
          <w:numId w:val="37"/>
        </w:numPr>
        <w:autoSpaceDE w:val="0"/>
        <w:autoSpaceDN w:val="0"/>
        <w:adjustRightInd w:val="0"/>
        <w:spacing w:line="360" w:lineRule="exact"/>
        <w:jc w:val="left"/>
        <w:rPr>
          <w:rFonts w:hint="default"/>
          <w:spacing w:val="-4"/>
          <w:kern w:val="0"/>
        </w:rPr>
      </w:pPr>
      <w:r>
        <w:rPr>
          <w:rFonts w:hint="eastAsia"/>
          <w:kern w:val="0"/>
        </w:rPr>
        <w:t>障害のある人や高齢者の孤立防止、地域での支え合いやコミュニティづくりのため、障害のある人、高齢者、子ども等、誰もが利用できる地域の交流の場である「居場所」づくりを推進します。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8"/>
        <w:jc w:val="left"/>
        <w:rPr>
          <w:rFonts w:hint="default"/>
          <w:spacing w:val="-4"/>
          <w:kern w:val="0"/>
        </w:rPr>
      </w:pPr>
    </w:p>
    <w:p>
      <w:pPr>
        <w:pStyle w:val="0"/>
        <w:numPr>
          <w:ilvl w:val="0"/>
          <w:numId w:val="37"/>
        </w:numPr>
        <w:autoSpaceDE w:val="0"/>
        <w:autoSpaceDN w:val="0"/>
        <w:adjustRightInd w:val="0"/>
        <w:spacing w:line="360" w:lineRule="exact"/>
        <w:jc w:val="left"/>
        <w:rPr>
          <w:rFonts w:hint="default"/>
          <w:spacing w:val="-4"/>
          <w:kern w:val="0"/>
        </w:rPr>
      </w:pPr>
      <w:r>
        <w:rPr>
          <w:rFonts w:hint="eastAsia"/>
          <w:kern w:val="0"/>
        </w:rPr>
        <w:t>障害のある人のほか、高齢者、子どもなどの家族が抱える様々な課題について、身近にある地域包括支援センター</w:t>
      </w:r>
      <w:r>
        <w:rPr>
          <w:rFonts w:hint="eastAsia"/>
          <w:spacing w:val="-4"/>
          <w:kern w:val="0"/>
          <w:vertAlign w:val="superscript"/>
        </w:rPr>
        <w:t>＊</w:t>
      </w:r>
      <w:r>
        <w:rPr>
          <w:rFonts w:hint="eastAsia"/>
          <w:kern w:val="0"/>
        </w:rPr>
        <w:t>で幅広く、介護・福祉・医療・保健の垣根を越えて相談を受け付け、関係機関が連携して解決できるような相談体制の構築を支援します。</w:t>
      </w:r>
      <w:r>
        <w:rPr>
          <w:rFonts w:hint="eastAsia"/>
          <w:sz w:val="16"/>
        </w:rPr>
        <w:t>[</w:t>
      </w:r>
      <w:r>
        <w:rPr>
          <w:rFonts w:hint="eastAsia"/>
          <w:spacing w:val="-4"/>
          <w:kern w:val="0"/>
          <w:sz w:val="16"/>
        </w:rPr>
        <w:t>健康福祉部</w:t>
      </w:r>
      <w:r>
        <w:rPr>
          <w:rFonts w:hint="eastAsia"/>
          <w:sz w:val="16"/>
        </w:rPr>
        <w:t>障害者支援局</w:t>
      </w:r>
      <w:r>
        <w:rPr>
          <w:rFonts w:hint="eastAsia"/>
          <w:sz w:val="16"/>
        </w:rPr>
        <w:t>]</w:t>
      </w:r>
      <w:r>
        <w:rPr>
          <w:rFonts w:hint="eastAsia"/>
          <w:sz w:val="16"/>
        </w:rPr>
        <w:t>、</w:t>
      </w:r>
      <w:r>
        <w:rPr>
          <w:rFonts w:hint="eastAsia"/>
          <w:sz w:val="16"/>
        </w:rPr>
        <w:t>[</w:t>
      </w:r>
      <w:r>
        <w:rPr>
          <w:rFonts w:hint="eastAsia"/>
          <w:spacing w:val="-4"/>
          <w:kern w:val="0"/>
          <w:sz w:val="16"/>
        </w:rPr>
        <w:t>健康福祉部</w:t>
      </w:r>
      <w:r>
        <w:rPr>
          <w:rFonts w:hint="eastAsia"/>
          <w:sz w:val="16"/>
        </w:rPr>
        <w:t>福祉長寿局</w:t>
      </w:r>
      <w:r>
        <w:rPr>
          <w:rFonts w:hint="eastAsia"/>
          <w:sz w:val="16"/>
        </w:rPr>
        <w:t>]</w:t>
      </w:r>
    </w:p>
    <w:p>
      <w:pPr>
        <w:pStyle w:val="0"/>
        <w:autoSpaceDE w:val="0"/>
        <w:autoSpaceDN w:val="0"/>
        <w:adjustRightInd w:val="0"/>
        <w:spacing w:line="360" w:lineRule="exact"/>
        <w:ind w:left="578"/>
        <w:jc w:val="left"/>
        <w:rPr>
          <w:rFonts w:hint="default"/>
          <w:spacing w:val="-4"/>
          <w:kern w:val="0"/>
        </w:rPr>
      </w:pPr>
    </w:p>
    <w:p>
      <w:pPr>
        <w:pStyle w:val="0"/>
        <w:numPr>
          <w:ilvl w:val="0"/>
          <w:numId w:val="37"/>
        </w:numPr>
        <w:autoSpaceDE w:val="0"/>
        <w:autoSpaceDN w:val="0"/>
        <w:adjustRightInd w:val="0"/>
        <w:spacing w:line="360" w:lineRule="exact"/>
        <w:jc w:val="left"/>
        <w:rPr>
          <w:rFonts w:hint="default"/>
          <w:spacing w:val="-4"/>
          <w:kern w:val="0"/>
        </w:rPr>
      </w:pPr>
      <w:r>
        <w:rPr>
          <w:rFonts w:hint="eastAsia"/>
          <w:kern w:val="0"/>
        </w:rPr>
        <w:t>障害のある人が身近な場所で障害福祉サービス等を受けることができるよう、介護事業所等における共生型サービス</w:t>
      </w:r>
      <w:r>
        <w:rPr>
          <w:rFonts w:hint="eastAsia"/>
          <w:color w:val="000000" w:themeColor="text1"/>
          <w:spacing w:val="-4"/>
          <w:kern w:val="0"/>
          <w:vertAlign w:val="superscript"/>
        </w:rPr>
        <w:t>＊</w:t>
      </w:r>
      <w:r>
        <w:rPr>
          <w:rFonts w:hint="eastAsia"/>
          <w:kern w:val="0"/>
        </w:rPr>
        <w:t>等の提供拡大を支援します。</w:t>
      </w:r>
      <w:r>
        <w:rPr>
          <w:rFonts w:hint="eastAsia"/>
          <w:sz w:val="16"/>
        </w:rPr>
        <w:t>[</w:t>
      </w:r>
      <w:r>
        <w:rPr>
          <w:rFonts w:hint="eastAsia"/>
          <w:spacing w:val="-4"/>
          <w:kern w:val="0"/>
          <w:sz w:val="16"/>
        </w:rPr>
        <w:t>健康福祉部</w:t>
      </w:r>
      <w:r>
        <w:rPr>
          <w:rFonts w:hint="eastAsia"/>
          <w:sz w:val="16"/>
        </w:rPr>
        <w:t>障害者支援局</w:t>
      </w:r>
      <w:r>
        <w:rPr>
          <w:rFonts w:hint="eastAsia"/>
          <w:sz w:val="16"/>
        </w:rPr>
        <w:t>]</w:t>
      </w:r>
      <w:r>
        <w:rPr>
          <w:rFonts w:hint="eastAsia"/>
          <w:sz w:val="16"/>
        </w:rPr>
        <w:t>、</w:t>
      </w:r>
      <w:r>
        <w:rPr>
          <w:rFonts w:hint="eastAsia"/>
          <w:sz w:val="16"/>
        </w:rPr>
        <w:t>[</w:t>
      </w:r>
      <w:r>
        <w:rPr>
          <w:rFonts w:hint="eastAsia"/>
          <w:spacing w:val="-4"/>
          <w:kern w:val="0"/>
          <w:sz w:val="16"/>
        </w:rPr>
        <w:t>健康福祉部</w:t>
      </w:r>
      <w:r>
        <w:rPr>
          <w:rFonts w:hint="eastAsia"/>
          <w:sz w:val="16"/>
        </w:rPr>
        <w:t>福祉長寿局</w:t>
      </w:r>
      <w:r>
        <w:rPr>
          <w:rFonts w:hint="eastAsia"/>
          <w:sz w:val="16"/>
        </w:rPr>
        <w:t>]</w:t>
      </w:r>
    </w:p>
    <w:p>
      <w:pPr>
        <w:pStyle w:val="0"/>
        <w:autoSpaceDE w:val="0"/>
        <w:autoSpaceDN w:val="0"/>
        <w:adjustRightInd w:val="0"/>
        <w:spacing w:line="360" w:lineRule="exact"/>
        <w:ind w:left="578"/>
        <w:jc w:val="left"/>
        <w:rPr>
          <w:rFonts w:hint="default"/>
          <w:spacing w:val="-4"/>
          <w:kern w:val="0"/>
        </w:rPr>
      </w:pPr>
    </w:p>
    <w:p>
      <w:pPr>
        <w:pStyle w:val="0"/>
        <w:autoSpaceDE w:val="0"/>
        <w:autoSpaceDN w:val="0"/>
        <w:adjustRightInd w:val="0"/>
        <w:spacing w:line="360" w:lineRule="exact"/>
        <w:jc w:val="left"/>
        <w:rPr>
          <w:rFonts w:hint="default"/>
        </w:rPr>
      </w:pPr>
      <w:r>
        <w:rPr>
          <w:rFonts w:hint="eastAsia"/>
          <w:spacing w:val="-4"/>
          <w:kern w:val="0"/>
        </w:rPr>
        <w:t>イ　</w:t>
      </w:r>
      <w:r>
        <w:rPr>
          <w:rFonts w:hint="eastAsia" w:ascii="ＭＳ ゴシック" w:hAnsi="ＭＳ ゴシック" w:eastAsia="ＭＳ ゴシック"/>
        </w:rPr>
        <w:t>ボランティア・ＮＰＯ</w:t>
      </w:r>
      <w:r>
        <w:rPr>
          <w:rFonts w:hint="eastAsia"/>
          <w:color w:val="000000" w:themeColor="text1"/>
          <w:spacing w:val="-4"/>
          <w:kern w:val="0"/>
          <w:vertAlign w:val="superscript"/>
        </w:rPr>
        <w:t>＊</w:t>
      </w:r>
      <w:r>
        <w:rPr>
          <w:rFonts w:hint="eastAsia" w:ascii="ＭＳ ゴシック" w:hAnsi="ＭＳ ゴシック" w:eastAsia="ＭＳ ゴシック"/>
        </w:rPr>
        <w:t>活動の促進</w:t>
      </w:r>
    </w:p>
    <w:p>
      <w:pPr>
        <w:pStyle w:val="0"/>
        <w:numPr>
          <w:ilvl w:val="0"/>
          <w:numId w:val="38"/>
        </w:numPr>
        <w:autoSpaceDE w:val="0"/>
        <w:autoSpaceDN w:val="0"/>
        <w:adjustRightInd w:val="0"/>
        <w:spacing w:line="360" w:lineRule="exact"/>
        <w:jc w:val="left"/>
        <w:rPr>
          <w:rFonts w:hint="default"/>
          <w:spacing w:val="-4"/>
          <w:kern w:val="0"/>
          <w:sz w:val="16"/>
        </w:rPr>
      </w:pPr>
      <w:r>
        <w:rPr>
          <w:rFonts w:hint="eastAsia"/>
          <w:kern w:val="0"/>
        </w:rPr>
        <w:t>ＮＰＯ等による社会貢献活動を促進するため、ＮＰＯ活動を支援する市民活動センターとの連携の充実を図るとともに、ＮＰＯを対象とした講座の開催等によりＮＰＯの運営基盤強化を後押しします。</w:t>
      </w:r>
      <w:r>
        <w:rPr>
          <w:rFonts w:hint="eastAsia"/>
          <w:spacing w:val="-4"/>
          <w:kern w:val="0"/>
          <w:sz w:val="16"/>
        </w:rPr>
        <w:t>[</w:t>
      </w:r>
      <w:r>
        <w:rPr>
          <w:rFonts w:hint="eastAsia"/>
          <w:spacing w:val="-4"/>
          <w:kern w:val="0"/>
          <w:sz w:val="16"/>
        </w:rPr>
        <w:t>くらし</w:t>
      </w:r>
      <w:r>
        <w:rPr>
          <w:rFonts w:hint="eastAsia"/>
          <w:kern w:val="0"/>
          <w:sz w:val="16"/>
        </w:rPr>
        <w:t>・</w:t>
      </w:r>
      <w:r>
        <w:rPr>
          <w:rFonts w:hint="eastAsia"/>
          <w:spacing w:val="-4"/>
          <w:kern w:val="0"/>
          <w:sz w:val="16"/>
        </w:rPr>
        <w:t>環境部県民生活局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sz w:val="16"/>
        </w:rPr>
      </w:pPr>
    </w:p>
    <w:p>
      <w:pPr>
        <w:pStyle w:val="0"/>
        <w:numPr>
          <w:ilvl w:val="0"/>
          <w:numId w:val="38"/>
        </w:numPr>
        <w:autoSpaceDE w:val="0"/>
        <w:autoSpaceDN w:val="0"/>
        <w:adjustRightInd w:val="0"/>
        <w:spacing w:line="360" w:lineRule="exact"/>
        <w:jc w:val="left"/>
        <w:rPr>
          <w:rFonts w:hint="default"/>
        </w:rPr>
      </w:pPr>
      <w:r>
        <w:rPr>
          <w:rFonts w:hint="eastAsia"/>
          <w:kern w:val="0"/>
        </w:rPr>
        <w:t>ボランティアの活動拠点や中間支援組織としての機能を有する県・市町の社会福祉協議会のボランティアセンターや県ボランティア協会の活動を支援し、住民のボランティア活動を促進します。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spacing w:line="360" w:lineRule="exact"/>
        <w:outlineLvl w:val="2"/>
        <w:rPr>
          <w:rFonts w:hint="default" w:ascii="ＭＳ ゴシック" w:hAnsi="ＭＳ ゴシック" w:eastAsia="ＭＳ ゴシック"/>
        </w:rPr>
      </w:pPr>
      <w:r>
        <w:rPr>
          <w:rFonts w:hint="eastAsia"/>
        </w:rPr>
        <w:t>ウ　</w:t>
      </w:r>
      <w:r>
        <w:rPr>
          <w:rFonts w:hint="eastAsia" w:ascii="ＭＳ ゴシック" w:hAnsi="ＭＳ ゴシック" w:eastAsia="ＭＳ ゴシック"/>
        </w:rPr>
        <w:t>地域福祉計画</w:t>
      </w:r>
      <w:r>
        <w:rPr>
          <w:rFonts w:hint="eastAsia"/>
          <w:spacing w:val="-4"/>
          <w:kern w:val="0"/>
          <w:vertAlign w:val="superscript"/>
        </w:rPr>
        <w:t>＊</w:t>
      </w:r>
      <w:r>
        <w:rPr>
          <w:rFonts w:hint="eastAsia" w:ascii="ＭＳ ゴシック" w:hAnsi="ＭＳ ゴシック" w:eastAsia="ＭＳ ゴシック"/>
        </w:rPr>
        <w:t>等の推進</w:t>
      </w:r>
    </w:p>
    <w:p>
      <w:pPr>
        <w:pStyle w:val="0"/>
        <w:numPr>
          <w:ilvl w:val="0"/>
          <w:numId w:val="39"/>
        </w:numPr>
        <w:autoSpaceDE w:val="0"/>
        <w:autoSpaceDN w:val="0"/>
        <w:adjustRightInd w:val="0"/>
        <w:spacing w:line="360" w:lineRule="exact"/>
        <w:jc w:val="left"/>
        <w:rPr>
          <w:rFonts w:hint="default"/>
          <w:spacing w:val="-4"/>
          <w:kern w:val="0"/>
          <w:sz w:val="16"/>
        </w:rPr>
      </w:pPr>
      <w:r>
        <w:rPr>
          <w:rFonts w:hint="eastAsia"/>
          <w:kern w:val="0"/>
        </w:rPr>
        <w:t>住民参加の地域福祉活動を促進するため、県地域福祉支援計画に基づき市町地域福祉計画の推進を支援します。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sz w:val="16"/>
        </w:rPr>
      </w:pPr>
    </w:p>
    <w:p>
      <w:pPr>
        <w:pStyle w:val="0"/>
        <w:numPr>
          <w:ilvl w:val="0"/>
          <w:numId w:val="39"/>
        </w:numPr>
        <w:autoSpaceDE w:val="0"/>
        <w:autoSpaceDN w:val="0"/>
        <w:adjustRightInd w:val="0"/>
        <w:spacing w:line="360" w:lineRule="exact"/>
        <w:jc w:val="left"/>
        <w:rPr>
          <w:rFonts w:hint="default"/>
          <w:spacing w:val="-4"/>
          <w:kern w:val="0"/>
          <w:sz w:val="16"/>
        </w:rPr>
      </w:pPr>
      <w:r>
        <w:rPr>
          <w:rFonts w:hint="eastAsia"/>
          <w:kern w:val="0"/>
        </w:rPr>
        <w:t>多様な主体の連携により地域福祉を推進するため、県社会福祉協議会の地域福祉活動推進計画と連携し、市町社会福祉協議会の取組を支援します。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sz w:val="16"/>
        </w:rPr>
      </w:pPr>
    </w:p>
    <w:p>
      <w:pPr>
        <w:pStyle w:val="0"/>
        <w:numPr>
          <w:ilvl w:val="0"/>
          <w:numId w:val="39"/>
        </w:numPr>
        <w:autoSpaceDE w:val="0"/>
        <w:autoSpaceDN w:val="0"/>
        <w:adjustRightInd w:val="0"/>
        <w:spacing w:line="360" w:lineRule="exact"/>
        <w:jc w:val="left"/>
        <w:rPr>
          <w:rFonts w:hint="default"/>
          <w:spacing w:val="-4"/>
          <w:kern w:val="0"/>
          <w:sz w:val="16"/>
        </w:rPr>
      </w:pPr>
      <w:r>
        <w:rPr>
          <w:rFonts w:hint="eastAsia"/>
          <w:kern w:val="0"/>
        </w:rPr>
        <w:t>地域福祉活動の核となって活動する人材を育成するため、地域福祉コーディネーター（コミュニティソーシャルワーカー）</w:t>
      </w:r>
      <w:r>
        <w:rPr>
          <w:rFonts w:hint="eastAsia"/>
          <w:spacing w:val="-4"/>
          <w:kern w:val="0"/>
          <w:vertAlign w:val="superscript"/>
        </w:rPr>
        <w:t>＊</w:t>
      </w:r>
      <w:r>
        <w:rPr>
          <w:rFonts w:hint="eastAsia"/>
          <w:kern w:val="0"/>
        </w:rPr>
        <w:t>の養成研修を実施します。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sz w:val="16"/>
        </w:rPr>
      </w:pPr>
    </w:p>
    <w:p>
      <w:pPr>
        <w:pStyle w:val="0"/>
        <w:rPr>
          <w:rFonts w:hint="default"/>
        </w:rPr>
      </w:pPr>
      <w:r>
        <w:rPr>
          <w:rFonts w:hint="eastAsia" w:ascii="ＭＳ ゴシック" w:hAnsi="ＭＳ ゴシック" w:eastAsia="ＭＳ ゴシック"/>
        </w:rPr>
        <w:t>【数値目標】</w:t>
      </w:r>
    </w:p>
    <w:tbl>
      <w:tblPr>
        <w:tblStyle w:val="11"/>
        <w:tblW w:w="9687"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6"/>
        <w:gridCol w:w="4883"/>
        <w:gridCol w:w="2194"/>
        <w:gridCol w:w="2194"/>
      </w:tblGrid>
      <w:tr>
        <w:trPr>
          <w:trHeight w:val="121"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114"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障害のある人を受け入れている介護サービス事業所数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2021</w:t>
            </w:r>
            <w:r>
              <w:rPr>
                <w:rFonts w:hint="eastAsia"/>
              </w:rPr>
              <w:t>年度）</w:t>
            </w:r>
          </w:p>
          <w:p>
            <w:pPr>
              <w:pStyle w:val="0"/>
              <w:spacing w:line="360" w:lineRule="exact"/>
              <w:jc w:val="center"/>
              <w:rPr>
                <w:rFonts w:hint="default"/>
              </w:rPr>
            </w:pPr>
            <w:r>
              <w:rPr>
                <w:rFonts w:hint="eastAsia"/>
              </w:rPr>
              <w:t>62</w:t>
            </w:r>
            <w:r>
              <w:rPr>
                <w:rFonts w:hint="eastAsia"/>
              </w:rPr>
              <w:t>箇所</w:t>
            </w:r>
          </w:p>
        </w:tc>
        <w:tc>
          <w:tcPr>
            <w:tcW w:w="2189" w:type="dxa"/>
            <w:vAlign w:val="center"/>
          </w:tcPr>
          <w:p>
            <w:pPr>
              <w:pStyle w:val="0"/>
              <w:spacing w:line="360" w:lineRule="exact"/>
              <w:jc w:val="center"/>
              <w:rPr>
                <w:rFonts w:hint="default"/>
              </w:rPr>
            </w:pPr>
            <w:r>
              <w:rPr>
                <w:rFonts w:hint="eastAsia"/>
              </w:rPr>
              <w:t>（</w:t>
            </w:r>
            <w:r>
              <w:rPr>
                <w:rFonts w:hint="eastAsia"/>
              </w:rPr>
              <w:t>2025</w:t>
            </w:r>
            <w:r>
              <w:rPr>
                <w:rFonts w:hint="eastAsia"/>
              </w:rPr>
              <w:t>年度）</w:t>
            </w:r>
          </w:p>
          <w:p>
            <w:pPr>
              <w:pStyle w:val="0"/>
              <w:spacing w:line="360" w:lineRule="exact"/>
              <w:jc w:val="center"/>
              <w:rPr>
                <w:rFonts w:hint="default"/>
              </w:rPr>
            </w:pPr>
            <w:r>
              <w:rPr>
                <w:rFonts w:hint="eastAsia"/>
              </w:rPr>
              <w:t>90</w:t>
            </w:r>
            <w:r>
              <w:rPr>
                <w:rFonts w:hint="eastAsia"/>
              </w:rPr>
              <w:t>箇所</w:t>
            </w:r>
          </w:p>
        </w:tc>
      </w:tr>
      <w:tr>
        <w:trPr>
          <w:trHeight w:val="114"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２</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地域福祉コーディネーター</w:t>
            </w:r>
            <w:r>
              <w:rPr>
                <w:rFonts w:hint="eastAsia"/>
                <w:spacing w:val="-4"/>
                <w:kern w:val="0"/>
                <w:vertAlign w:val="superscript"/>
              </w:rPr>
              <w:t>＊</w:t>
            </w:r>
            <w:r>
              <w:rPr>
                <w:rFonts w:hint="eastAsia"/>
              </w:rPr>
              <w:t>養成者数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(2020</w:t>
            </w:r>
            <w:r>
              <w:rPr>
                <w:rFonts w:hint="eastAsia"/>
              </w:rPr>
              <w:t>年度</w:t>
            </w:r>
            <w:r>
              <w:rPr>
                <w:rFonts w:hint="eastAsia"/>
              </w:rPr>
              <w:t>)</w:t>
            </w:r>
          </w:p>
          <w:p>
            <w:pPr>
              <w:pStyle w:val="0"/>
              <w:spacing w:line="360" w:lineRule="exact"/>
              <w:jc w:val="center"/>
              <w:rPr>
                <w:rFonts w:hint="default"/>
              </w:rPr>
            </w:pPr>
            <w:r>
              <w:rPr>
                <w:rFonts w:hint="eastAsia"/>
              </w:rPr>
              <w:t>398</w:t>
            </w:r>
            <w:r>
              <w:rPr>
                <w:rFonts w:hint="eastAsia"/>
              </w:rPr>
              <w:t>人</w:t>
            </w:r>
          </w:p>
        </w:tc>
        <w:tc>
          <w:tcPr>
            <w:tcW w:w="2189" w:type="dxa"/>
            <w:vAlign w:val="center"/>
          </w:tcPr>
          <w:p>
            <w:pPr>
              <w:pStyle w:val="0"/>
              <w:spacing w:line="360" w:lineRule="exact"/>
              <w:jc w:val="center"/>
              <w:rPr>
                <w:rFonts w:hint="default"/>
              </w:rPr>
            </w:pPr>
            <w:r>
              <w:rPr>
                <w:rFonts w:hint="eastAsia"/>
              </w:rPr>
              <w:t>（毎年度）</w:t>
            </w:r>
          </w:p>
          <w:p>
            <w:pPr>
              <w:pStyle w:val="0"/>
              <w:spacing w:line="360" w:lineRule="exact"/>
              <w:jc w:val="center"/>
              <w:rPr>
                <w:rFonts w:hint="default"/>
              </w:rPr>
            </w:pPr>
            <w:r>
              <w:rPr>
                <w:rFonts w:hint="eastAsia"/>
              </w:rPr>
              <w:t>30</w:t>
            </w:r>
            <w:r>
              <w:rPr>
                <w:rFonts w:hint="eastAsia"/>
              </w:rPr>
              <w:t>人養成</w:t>
            </w:r>
          </w:p>
        </w:tc>
      </w:tr>
    </w:tbl>
    <w:p>
      <w:pPr>
        <w:pStyle w:val="0"/>
        <w:rPr>
          <w:rFonts w:hint="default" w:ascii="ＭＳ ゴシック" w:hAnsi="ＭＳ ゴシック" w:eastAsia="ＭＳ ゴシック"/>
          <w:b w:val="1"/>
        </w:rPr>
      </w:pPr>
    </w:p>
    <w:p>
      <w:pPr>
        <w:pStyle w:val="0"/>
        <w:outlineLvl w:val="2"/>
        <w:rPr>
          <w:rFonts w:hint="default" w:ascii="ＭＳ ゴシック" w:hAnsi="ＭＳ ゴシック" w:eastAsia="ＭＳ ゴシック"/>
        </w:rPr>
      </w:pPr>
      <w:bookmarkStart w:id="99" w:name="_Toc503474058"/>
      <w:r>
        <w:rPr>
          <w:rFonts w:hint="eastAsia" w:ascii="ＭＳ ゴシック" w:hAnsi="ＭＳ ゴシック" w:eastAsia="ＭＳ ゴシック"/>
        </w:rPr>
        <w:t>（２）介護保険制度</w:t>
      </w:r>
      <w:r>
        <w:rPr>
          <w:rFonts w:hint="eastAsia"/>
          <w:kern w:val="0"/>
          <w:vertAlign w:val="superscript"/>
        </w:rPr>
        <w:t>＊</w:t>
      </w:r>
      <w:r>
        <w:rPr>
          <w:rFonts w:hint="eastAsia" w:ascii="ＭＳ ゴシック" w:hAnsi="ＭＳ ゴシック" w:eastAsia="ＭＳ ゴシック"/>
        </w:rPr>
        <w:t>との連携</w:t>
      </w:r>
      <w:bookmarkEnd w:id="99"/>
    </w:p>
    <w:p>
      <w:pPr>
        <w:pStyle w:val="0"/>
        <w:rPr>
          <w:rFonts w:hint="default"/>
        </w:rPr>
      </w:pPr>
      <w:r>
        <w:rPr>
          <w:rFonts w:hint="eastAsia" w:ascii="ＭＳ ゴシック" w:hAnsi="ＭＳ ゴシック" w:eastAsia="ＭＳ ゴシック"/>
        </w:rPr>
        <w:t>【現状と課題】　</w:t>
      </w:r>
    </w:p>
    <w:p>
      <w:pPr>
        <w:pStyle w:val="0"/>
        <w:numPr>
          <w:ilvl w:val="0"/>
          <w:numId w:val="40"/>
        </w:numPr>
        <w:autoSpaceDE w:val="0"/>
        <w:autoSpaceDN w:val="0"/>
        <w:adjustRightInd w:val="0"/>
        <w:spacing w:line="360" w:lineRule="exact"/>
        <w:jc w:val="left"/>
        <w:rPr>
          <w:rFonts w:hint="default"/>
        </w:rPr>
      </w:pPr>
      <w:r>
        <w:rPr>
          <w:rFonts w:hint="eastAsia"/>
          <w:kern w:val="0"/>
        </w:rPr>
        <w:t>本県の身体障害のある人のうち</w:t>
      </w:r>
      <w:r>
        <w:rPr>
          <w:rFonts w:hint="default"/>
          <w:kern w:val="0"/>
        </w:rPr>
        <w:t>65</w:t>
      </w:r>
      <w:r>
        <w:rPr>
          <w:rFonts w:hint="eastAsia"/>
          <w:kern w:val="0"/>
        </w:rPr>
        <w:t>歳以上の割合は、</w:t>
      </w:r>
      <w:r>
        <w:rPr>
          <w:rFonts w:hint="eastAsia"/>
          <w:kern w:val="0"/>
        </w:rPr>
        <w:t>2012</w:t>
      </w:r>
      <w:r>
        <w:rPr>
          <w:rFonts w:hint="eastAsia"/>
          <w:kern w:val="0"/>
        </w:rPr>
        <w:t>年３月末には</w:t>
      </w:r>
      <w:r>
        <w:rPr>
          <w:rFonts w:hint="eastAsia"/>
          <w:kern w:val="0"/>
        </w:rPr>
        <w:t>66.7</w:t>
      </w:r>
      <w:r>
        <w:rPr>
          <w:rFonts w:hint="eastAsia"/>
          <w:kern w:val="0"/>
        </w:rPr>
        <w:t>％でしたが、</w:t>
      </w:r>
      <w:r>
        <w:rPr>
          <w:rFonts w:hint="eastAsia"/>
          <w:kern w:val="0"/>
        </w:rPr>
        <w:t>2021</w:t>
      </w:r>
      <w:r>
        <w:rPr>
          <w:rFonts w:hint="eastAsia"/>
          <w:kern w:val="0"/>
        </w:rPr>
        <w:t>年３月末には</w:t>
      </w:r>
      <w:r>
        <w:rPr>
          <w:rFonts w:hint="eastAsia"/>
          <w:kern w:val="0"/>
        </w:rPr>
        <w:t>72.4</w:t>
      </w:r>
      <w:r>
        <w:rPr>
          <w:rFonts w:hint="eastAsia"/>
          <w:kern w:val="0"/>
        </w:rPr>
        <w:t>％となっており、高齢化が進んでいます。</w:t>
      </w:r>
    </w:p>
    <w:p>
      <w:pPr>
        <w:pStyle w:val="0"/>
        <w:autoSpaceDE w:val="0"/>
        <w:autoSpaceDN w:val="0"/>
        <w:adjustRightInd w:val="0"/>
        <w:spacing w:line="360" w:lineRule="exact"/>
        <w:ind w:left="576"/>
        <w:jc w:val="left"/>
        <w:rPr>
          <w:rFonts w:hint="default"/>
        </w:rPr>
      </w:pPr>
    </w:p>
    <w:p>
      <w:pPr>
        <w:pStyle w:val="0"/>
        <w:numPr>
          <w:ilvl w:val="0"/>
          <w:numId w:val="29"/>
        </w:numPr>
        <w:autoSpaceDE w:val="0"/>
        <w:autoSpaceDN w:val="0"/>
        <w:adjustRightInd w:val="0"/>
        <w:spacing w:line="360" w:lineRule="exact"/>
        <w:jc w:val="left"/>
        <w:rPr>
          <w:rFonts w:hint="default"/>
          <w:u w:val="single" w:color="auto"/>
        </w:rPr>
      </w:pPr>
      <w:r>
        <w:rPr>
          <w:rFonts w:hint="eastAsia"/>
          <w:kern w:val="0"/>
        </w:rPr>
        <w:t>障害のある人も介護保険適用年齢に達すると介護保険制度が利用できるようになります。被保険者における介護保険給付と自立支援給付</w:t>
      </w:r>
      <w:r>
        <w:rPr>
          <w:rFonts w:hint="eastAsia"/>
          <w:spacing w:val="-4"/>
          <w:kern w:val="0"/>
          <w:vertAlign w:val="superscript"/>
        </w:rPr>
        <w:t>＊</w:t>
      </w:r>
      <w:r>
        <w:rPr>
          <w:rFonts w:hint="eastAsia"/>
          <w:kern w:val="0"/>
        </w:rPr>
        <w:t>との適用関係については、給付調整規定に基づき、介護保険給付が優先されることになっています。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numPr>
          <w:ilvl w:val="0"/>
          <w:numId w:val="41"/>
        </w:numPr>
        <w:autoSpaceDE w:val="0"/>
        <w:autoSpaceDN w:val="0"/>
        <w:adjustRightInd w:val="0"/>
        <w:spacing w:line="360" w:lineRule="exact"/>
        <w:jc w:val="left"/>
        <w:rPr>
          <w:rFonts w:hint="default"/>
          <w:spacing w:val="-4"/>
          <w:kern w:val="0"/>
          <w:sz w:val="16"/>
        </w:rPr>
      </w:pPr>
      <w:r>
        <w:rPr>
          <w:rFonts w:hint="eastAsia"/>
          <w:kern w:val="0"/>
        </w:rPr>
        <w:t>高齢の障害のある人が自立支援給付</w:t>
      </w:r>
      <w:r>
        <w:rPr>
          <w:rFonts w:hint="eastAsia"/>
          <w:spacing w:val="-4"/>
          <w:kern w:val="0"/>
          <w:vertAlign w:val="superscript"/>
        </w:rPr>
        <w:t>＊</w:t>
      </w:r>
      <w:r>
        <w:rPr>
          <w:rFonts w:hint="eastAsia"/>
          <w:kern w:val="0"/>
        </w:rPr>
        <w:t>から介護保険給付へ円滑に移行できるように、適切な制度運用に努めます。</w:t>
      </w:r>
      <w:r>
        <w:rPr>
          <w:rFonts w:hint="eastAsia"/>
          <w:sz w:val="16"/>
        </w:rPr>
        <w:t>[</w:t>
      </w:r>
      <w:r>
        <w:rPr>
          <w:rFonts w:hint="eastAsia"/>
          <w:spacing w:val="-4"/>
          <w:kern w:val="0"/>
          <w:sz w:val="16"/>
        </w:rPr>
        <w:t>健康福祉部</w:t>
      </w:r>
      <w:r>
        <w:rPr>
          <w:rFonts w:hint="eastAsia"/>
          <w:sz w:val="16"/>
        </w:rPr>
        <w:t>障害者支援局</w:t>
      </w:r>
      <w:r>
        <w:rPr>
          <w:rFonts w:hint="eastAsia"/>
          <w:sz w:val="16"/>
        </w:rPr>
        <w:t>]</w:t>
      </w:r>
      <w:r>
        <w:rPr>
          <w:rFonts w:hint="eastAsia"/>
          <w:sz w:val="16"/>
        </w:rPr>
        <w:t>、</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sz w:val="16"/>
        </w:rPr>
      </w:pPr>
    </w:p>
    <w:p>
      <w:pPr>
        <w:pStyle w:val="0"/>
        <w:numPr>
          <w:ilvl w:val="0"/>
          <w:numId w:val="41"/>
        </w:numPr>
        <w:autoSpaceDE w:val="0"/>
        <w:autoSpaceDN w:val="0"/>
        <w:adjustRightInd w:val="0"/>
        <w:spacing w:line="360" w:lineRule="exact"/>
        <w:jc w:val="left"/>
        <w:rPr>
          <w:rFonts w:hint="default"/>
        </w:rPr>
      </w:pPr>
      <w:r>
        <w:rPr>
          <w:rFonts w:hint="eastAsia"/>
          <w:kern w:val="0"/>
        </w:rPr>
        <w:t>介護保険制度の介護保険給付に加え、更にサービスを必要とする高齢の障害のある人に対し、引き続き障害者施策において適切なサービスの提供に努めます。</w:t>
      </w:r>
      <w:r>
        <w:rPr>
          <w:rFonts w:hint="eastAsia"/>
          <w:sz w:val="16"/>
        </w:rPr>
        <w:t>[</w:t>
      </w:r>
      <w:r>
        <w:rPr>
          <w:rFonts w:hint="eastAsia"/>
          <w:spacing w:val="-4"/>
          <w:kern w:val="0"/>
          <w:sz w:val="16"/>
        </w:rPr>
        <w:t>健康福祉部</w:t>
      </w:r>
      <w:r>
        <w:rPr>
          <w:rFonts w:hint="eastAsia"/>
          <w:sz w:val="16"/>
        </w:rPr>
        <w:t>障害者支援局</w:t>
      </w:r>
      <w:r>
        <w:rPr>
          <w:rFonts w:hint="eastAsia"/>
          <w:sz w:val="16"/>
        </w:rPr>
        <w:t>]</w:t>
      </w:r>
      <w:r>
        <w:rPr>
          <w:rFonts w:hint="eastAsia"/>
          <w:sz w:val="16"/>
        </w:rPr>
        <w:t>、</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41"/>
        </w:numPr>
        <w:autoSpaceDE w:val="0"/>
        <w:autoSpaceDN w:val="0"/>
        <w:adjustRightInd w:val="0"/>
        <w:spacing w:line="360" w:lineRule="exact"/>
        <w:jc w:val="left"/>
        <w:rPr>
          <w:rFonts w:hint="default"/>
          <w:kern w:val="0"/>
        </w:rPr>
      </w:pPr>
      <w:r>
        <w:rPr>
          <w:rFonts w:hint="eastAsia"/>
          <w:kern w:val="0"/>
        </w:rPr>
        <w:t>介護保険制度による訪問介護との連携を図ります。</w:t>
      </w:r>
      <w:r>
        <w:rPr>
          <w:rFonts w:hint="eastAsia"/>
          <w:sz w:val="16"/>
        </w:rPr>
        <w:t>[</w:t>
      </w:r>
      <w:r>
        <w:rPr>
          <w:rFonts w:hint="eastAsia"/>
          <w:spacing w:val="-4"/>
          <w:kern w:val="0"/>
          <w:sz w:val="16"/>
        </w:rPr>
        <w:t>健康福祉部</w:t>
      </w:r>
      <w:r>
        <w:rPr>
          <w:rFonts w:hint="eastAsia"/>
          <w:sz w:val="16"/>
        </w:rPr>
        <w:t>障害者支援局</w:t>
      </w:r>
      <w:r>
        <w:rPr>
          <w:rFonts w:hint="eastAsia"/>
          <w:sz w:val="16"/>
        </w:rPr>
        <w:t>]</w:t>
      </w:r>
      <w:r>
        <w:rPr>
          <w:rFonts w:hint="eastAsia"/>
          <w:sz w:val="16"/>
        </w:rPr>
        <w:t>、</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rPr>
          <w:rFonts w:hint="default" w:ascii="ＭＳ ゴシック" w:hAnsi="ＭＳ ゴシック" w:eastAsia="ＭＳ ゴシック"/>
          <w:b w:val="1"/>
        </w:rPr>
      </w:pPr>
    </w:p>
    <w:p>
      <w:pPr>
        <w:pStyle w:val="0"/>
        <w:outlineLvl w:val="2"/>
        <w:rPr>
          <w:rFonts w:hint="default" w:ascii="ＭＳ ゴシック" w:hAnsi="ＭＳ ゴシック" w:eastAsia="ＭＳ ゴシック"/>
        </w:rPr>
      </w:pPr>
      <w:bookmarkStart w:id="100" w:name="_Toc503474059"/>
      <w:r>
        <w:rPr>
          <w:rFonts w:hint="eastAsia" w:ascii="ＭＳ ゴシック" w:hAnsi="ＭＳ ゴシック" w:eastAsia="ＭＳ ゴシック"/>
        </w:rPr>
        <w:t>（３）福祉人材の養成・確保</w:t>
      </w:r>
      <w:bookmarkEnd w:id="100"/>
    </w:p>
    <w:p>
      <w:pPr>
        <w:pStyle w:val="0"/>
        <w:rPr>
          <w:rFonts w:hint="default"/>
        </w:rPr>
      </w:pPr>
      <w:r>
        <w:rPr>
          <w:rFonts w:hint="eastAsia" w:ascii="ＭＳ ゴシック" w:hAnsi="ＭＳ ゴシック" w:eastAsia="ＭＳ ゴシック"/>
        </w:rPr>
        <w:t>【現状と課題】</w:t>
      </w:r>
    </w:p>
    <w:p>
      <w:pPr>
        <w:pStyle w:val="0"/>
        <w:numPr>
          <w:ilvl w:val="0"/>
          <w:numId w:val="42"/>
        </w:numPr>
        <w:autoSpaceDE w:val="0"/>
        <w:autoSpaceDN w:val="0"/>
        <w:adjustRightInd w:val="0"/>
        <w:spacing w:line="360" w:lineRule="exact"/>
        <w:jc w:val="left"/>
        <w:rPr>
          <w:rFonts w:hint="default"/>
        </w:rPr>
      </w:pPr>
      <w:r>
        <w:rPr>
          <w:rFonts w:hint="eastAsia"/>
        </w:rPr>
        <w:t>福祉の仕事に対するマイナスイメージや理解不足等から、人材が集まりにくい福祉分野では、人材不足の状況が続いています。</w:t>
      </w:r>
    </w:p>
    <w:p>
      <w:pPr>
        <w:pStyle w:val="0"/>
        <w:autoSpaceDE w:val="0"/>
        <w:autoSpaceDN w:val="0"/>
        <w:adjustRightInd w:val="0"/>
        <w:spacing w:line="360" w:lineRule="exact"/>
        <w:ind w:left="576"/>
        <w:jc w:val="left"/>
        <w:rPr>
          <w:rFonts w:hint="default"/>
        </w:rPr>
      </w:pPr>
    </w:p>
    <w:p>
      <w:pPr>
        <w:pStyle w:val="0"/>
        <w:numPr>
          <w:ilvl w:val="0"/>
          <w:numId w:val="42"/>
        </w:numPr>
        <w:autoSpaceDE w:val="0"/>
        <w:autoSpaceDN w:val="0"/>
        <w:adjustRightInd w:val="0"/>
        <w:spacing w:line="360" w:lineRule="exact"/>
        <w:jc w:val="left"/>
        <w:rPr>
          <w:rFonts w:hint="default"/>
        </w:rPr>
      </w:pPr>
      <w:r>
        <w:rPr>
          <w:rFonts w:hint="eastAsia"/>
          <w:kern w:val="0"/>
        </w:rPr>
        <w:t>障害のある人の多様な福祉ニーズに対応した質の高いサービスを提供するため、障害福祉従事者の資質の向上を図る必要があります。</w:t>
      </w:r>
    </w:p>
    <w:p>
      <w:pPr>
        <w:pStyle w:val="0"/>
        <w:autoSpaceDE w:val="0"/>
        <w:autoSpaceDN w:val="0"/>
        <w:adjustRightInd w:val="0"/>
        <w:spacing w:line="360" w:lineRule="exact"/>
        <w:ind w:left="576"/>
        <w:jc w:val="left"/>
        <w:rPr>
          <w:rFonts w:hint="default"/>
        </w:rPr>
      </w:pPr>
    </w:p>
    <w:p>
      <w:pPr>
        <w:pStyle w:val="0"/>
        <w:numPr>
          <w:ilvl w:val="0"/>
          <w:numId w:val="29"/>
        </w:numPr>
        <w:autoSpaceDE w:val="0"/>
        <w:autoSpaceDN w:val="0"/>
        <w:adjustRightInd w:val="0"/>
        <w:spacing w:line="360" w:lineRule="exact"/>
        <w:jc w:val="left"/>
        <w:rPr>
          <w:rFonts w:hint="default"/>
        </w:rPr>
      </w:pPr>
      <w:r>
        <w:rPr>
          <w:rFonts w:hint="eastAsia"/>
          <w:kern w:val="0"/>
        </w:rPr>
        <w:t>福祉・介護職と他の業種との賃金格差を縮め、福祉職が確固とした雇用の場として成長していけるように、障害者支援施設等で直接処遇に従事する福祉・介護職員の賃金の処遇改善を図る必要があります。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numPr>
          <w:ilvl w:val="0"/>
          <w:numId w:val="43"/>
        </w:numPr>
        <w:autoSpaceDE w:val="0"/>
        <w:autoSpaceDN w:val="0"/>
        <w:adjustRightInd w:val="0"/>
        <w:spacing w:line="360" w:lineRule="exact"/>
        <w:jc w:val="left"/>
        <w:rPr>
          <w:rFonts w:hint="default"/>
          <w:spacing w:val="-4"/>
        </w:rPr>
      </w:pPr>
      <w:r>
        <w:rPr>
          <w:rFonts w:hint="eastAsia"/>
          <w:kern w:val="0"/>
        </w:rPr>
        <w:t>障害福祉分野を含む社会福祉に従事する人材の確保と資質向上のため、県社会福祉人材センター</w:t>
      </w:r>
      <w:r>
        <w:rPr>
          <w:rFonts w:hint="eastAsia"/>
          <w:spacing w:val="-4"/>
          <w:kern w:val="0"/>
          <w:vertAlign w:val="superscript"/>
        </w:rPr>
        <w:t>＊</w:t>
      </w:r>
      <w:r>
        <w:rPr>
          <w:rFonts w:hint="eastAsia"/>
          <w:kern w:val="0"/>
        </w:rPr>
        <w:t>において、福祉人材のマッチングやきめ細かな個別就労支援や充実した研修を実施します。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spacing w:val="-4"/>
        </w:rPr>
      </w:pPr>
    </w:p>
    <w:p>
      <w:pPr>
        <w:pStyle w:val="0"/>
        <w:numPr>
          <w:ilvl w:val="0"/>
          <w:numId w:val="43"/>
        </w:numPr>
        <w:autoSpaceDE w:val="0"/>
        <w:autoSpaceDN w:val="0"/>
        <w:adjustRightInd w:val="0"/>
        <w:spacing w:line="360" w:lineRule="exact"/>
        <w:jc w:val="left"/>
        <w:rPr>
          <w:rFonts w:hint="default"/>
          <w:spacing w:val="-4"/>
          <w:kern w:val="0"/>
        </w:rPr>
      </w:pPr>
      <w:r>
        <w:rPr>
          <w:rFonts w:hint="eastAsia"/>
          <w:kern w:val="0"/>
        </w:rPr>
        <w:t>障害の特性に対応できる専門性の高いホームヘルパー</w:t>
      </w:r>
      <w:r>
        <w:rPr>
          <w:rFonts w:hint="eastAsia"/>
          <w:spacing w:val="-4"/>
          <w:kern w:val="0"/>
          <w:vertAlign w:val="superscript"/>
        </w:rPr>
        <w:t>＊</w:t>
      </w:r>
      <w:r>
        <w:rPr>
          <w:rFonts w:hint="eastAsia"/>
          <w:kern w:val="0"/>
        </w:rPr>
        <w:t>や重度訪問介護</w:t>
      </w:r>
      <w:r>
        <w:rPr>
          <w:rFonts w:hint="eastAsia"/>
          <w:spacing w:val="-4"/>
          <w:kern w:val="0"/>
          <w:vertAlign w:val="superscript"/>
        </w:rPr>
        <w:t>＊</w:t>
      </w:r>
      <w:r>
        <w:rPr>
          <w:rFonts w:hint="eastAsia"/>
          <w:kern w:val="0"/>
        </w:rPr>
        <w:t>従業者、障害のある人の外出支援を行う同行援護従業者</w:t>
      </w:r>
      <w:r>
        <w:rPr>
          <w:rFonts w:hint="eastAsia"/>
          <w:spacing w:val="-4"/>
          <w:kern w:val="0"/>
          <w:vertAlign w:val="superscript"/>
        </w:rPr>
        <w:t>＊</w:t>
      </w:r>
      <w:r>
        <w:rPr>
          <w:rFonts w:hint="eastAsia"/>
          <w:kern w:val="0"/>
        </w:rPr>
        <w:t>や移動介護従業者</w:t>
      </w:r>
      <w:r>
        <w:rPr>
          <w:rFonts w:hint="eastAsia"/>
          <w:spacing w:val="-4"/>
          <w:kern w:val="0"/>
          <w:vertAlign w:val="superscript"/>
        </w:rPr>
        <w:t>＊</w:t>
      </w:r>
      <w:r>
        <w:rPr>
          <w:rFonts w:hint="eastAsia"/>
          <w:kern w:val="0"/>
        </w:rPr>
        <w:t>等を養成するための研修を実施するとともに、指定研修事業者の充実に努めます。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43"/>
        </w:numPr>
        <w:autoSpaceDE w:val="0"/>
        <w:autoSpaceDN w:val="0"/>
        <w:adjustRightInd w:val="0"/>
        <w:spacing w:line="360" w:lineRule="exact"/>
        <w:jc w:val="left"/>
        <w:rPr>
          <w:rFonts w:hint="default"/>
          <w:spacing w:val="-4"/>
          <w:kern w:val="0"/>
        </w:rPr>
      </w:pPr>
      <w:r>
        <w:rPr>
          <w:rFonts w:hint="eastAsia"/>
          <w:kern w:val="0"/>
        </w:rPr>
        <w:t>知的障害のある人が、福祉サービスの「受け手」から「担い手」となるように障害当事者向けの知的障害者等居宅介護職員養成研修を実施します。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43"/>
        </w:numPr>
        <w:autoSpaceDE w:val="0"/>
        <w:autoSpaceDN w:val="0"/>
        <w:adjustRightInd w:val="0"/>
        <w:spacing w:line="360" w:lineRule="exact"/>
        <w:jc w:val="left"/>
        <w:rPr>
          <w:rFonts w:hint="default"/>
          <w:spacing w:val="-4"/>
          <w:kern w:val="0"/>
        </w:rPr>
      </w:pPr>
      <w:r>
        <w:rPr>
          <w:rFonts w:hint="eastAsia"/>
          <w:kern w:val="0"/>
        </w:rPr>
        <w:t>聴覚に障害のある人とない人が、円滑なコミュニケーションを図ることができるように、手話通訳者</w:t>
      </w:r>
      <w:r>
        <w:rPr>
          <w:rFonts w:hint="eastAsia"/>
          <w:spacing w:val="-4"/>
          <w:kern w:val="0"/>
          <w:vertAlign w:val="superscript"/>
        </w:rPr>
        <w:t>＊</w:t>
      </w:r>
      <w:r>
        <w:rPr>
          <w:rFonts w:hint="eastAsia"/>
          <w:kern w:val="0"/>
        </w:rPr>
        <w:t>及び要約筆記者</w:t>
      </w:r>
      <w:r>
        <w:rPr>
          <w:rFonts w:hint="eastAsia"/>
          <w:spacing w:val="-4"/>
          <w:kern w:val="0"/>
          <w:vertAlign w:val="superscript"/>
        </w:rPr>
        <w:t>＊</w:t>
      </w:r>
      <w:r>
        <w:rPr>
          <w:rFonts w:hint="eastAsia"/>
          <w:kern w:val="0"/>
        </w:rPr>
        <w:t>の養成と資質向上を図るための研修を実施します。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43"/>
        </w:numPr>
        <w:autoSpaceDE w:val="0"/>
        <w:autoSpaceDN w:val="0"/>
        <w:adjustRightInd w:val="0"/>
        <w:spacing w:line="360" w:lineRule="exact"/>
        <w:jc w:val="left"/>
        <w:rPr>
          <w:rFonts w:hint="default"/>
          <w:spacing w:val="-4"/>
        </w:rPr>
      </w:pPr>
      <w:r>
        <w:rPr>
          <w:rFonts w:hint="eastAsia"/>
          <w:kern w:val="0"/>
        </w:rPr>
        <w:t>盲ろう者（視覚及び聴覚に重複した障害のある人）の自立と社会参加を図るため、コミュニケーション支援、移動支援に従事する盲ろう者向け通訳兼介助者</w:t>
      </w:r>
      <w:r>
        <w:rPr>
          <w:rFonts w:hint="eastAsia"/>
          <w:spacing w:val="-4"/>
          <w:kern w:val="0"/>
          <w:vertAlign w:val="superscript"/>
        </w:rPr>
        <w:t>＊</w:t>
      </w:r>
      <w:r>
        <w:rPr>
          <w:rFonts w:hint="eastAsia"/>
          <w:kern w:val="0"/>
        </w:rPr>
        <w:t>の養成と資質向上を図るための研修を実施します。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rPr>
      </w:pPr>
    </w:p>
    <w:p>
      <w:pPr>
        <w:pStyle w:val="0"/>
        <w:numPr>
          <w:ilvl w:val="0"/>
          <w:numId w:val="43"/>
        </w:numPr>
        <w:autoSpaceDE w:val="0"/>
        <w:autoSpaceDN w:val="0"/>
        <w:adjustRightInd w:val="0"/>
        <w:spacing w:line="360" w:lineRule="exact"/>
        <w:jc w:val="left"/>
        <w:rPr>
          <w:rFonts w:hint="default"/>
          <w:spacing w:val="-4"/>
          <w:kern w:val="0"/>
        </w:rPr>
      </w:pPr>
      <w:r>
        <w:rPr>
          <w:rFonts w:hint="eastAsia"/>
          <w:kern w:val="0"/>
        </w:rPr>
        <w:t>障害のある人の就労や通勤の支援を行う職場適応援助者（県ジョブコーチ）</w:t>
      </w:r>
      <w:r>
        <w:rPr>
          <w:rFonts w:hint="eastAsia"/>
          <w:spacing w:val="-4"/>
          <w:kern w:val="0"/>
          <w:vertAlign w:val="superscript"/>
        </w:rPr>
        <w:t>＊</w:t>
      </w:r>
      <w:r>
        <w:rPr>
          <w:rFonts w:hint="eastAsia"/>
          <w:kern w:val="0"/>
        </w:rPr>
        <w:t>の養成と資質向上を図ります。また、企業内ジョブコーチを育成し、日常的な配慮や社員同士の協力体制の充実を図ります。</w:t>
      </w:r>
      <w:r>
        <w:rPr>
          <w:rFonts w:hint="eastAsia"/>
          <w:spacing w:val="-4"/>
          <w:sz w:val="16"/>
        </w:rPr>
        <w:t>[</w:t>
      </w:r>
      <w:r>
        <w:rPr>
          <w:rFonts w:hint="eastAsia"/>
          <w:spacing w:val="-4"/>
          <w:sz w:val="16"/>
        </w:rPr>
        <w:t>経済産業部就業支援局</w:t>
      </w:r>
      <w:r>
        <w:rPr>
          <w:rFonts w:hint="eastAsia"/>
          <w:spacing w:val="-4"/>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43"/>
        </w:numPr>
        <w:autoSpaceDE w:val="0"/>
        <w:autoSpaceDN w:val="0"/>
        <w:adjustRightInd w:val="0"/>
        <w:spacing w:line="360" w:lineRule="exact"/>
        <w:jc w:val="left"/>
        <w:rPr>
          <w:rFonts w:hint="default"/>
        </w:rPr>
      </w:pPr>
      <w:r>
        <w:rPr>
          <w:rFonts w:hint="eastAsia"/>
          <w:kern w:val="0"/>
        </w:rPr>
        <w:t>重症心身障害児（者）</w:t>
      </w:r>
      <w:r>
        <w:rPr>
          <w:rFonts w:hint="eastAsia"/>
          <w:spacing w:val="-4"/>
          <w:kern w:val="0"/>
          <w:vertAlign w:val="superscript"/>
        </w:rPr>
        <w:t>＊</w:t>
      </w:r>
      <w:r>
        <w:rPr>
          <w:rFonts w:hint="eastAsia"/>
          <w:spacing w:val="-4"/>
          <w:kern w:val="0"/>
        </w:rPr>
        <w:t>及び医療的ケア児（者）</w:t>
      </w:r>
      <w:r>
        <w:rPr>
          <w:rFonts w:hint="eastAsia"/>
          <w:kern w:val="0"/>
        </w:rPr>
        <w:t>に対応できる在宅支援サービスを県下全域に広げていくため、看護・介護</w:t>
      </w:r>
      <w:r>
        <w:rPr>
          <w:rFonts w:hint="eastAsia"/>
        </w:rPr>
        <w:t>・福祉職等</w:t>
      </w:r>
      <w:r>
        <w:rPr>
          <w:rFonts w:hint="eastAsia"/>
          <w:kern w:val="0"/>
        </w:rPr>
        <w:t>への研修を行うとともに、医療・看護・介護・福祉職といった多職種のネットワーク化による重症心身障害児（者）</w:t>
      </w:r>
      <w:r>
        <w:rPr>
          <w:rFonts w:hint="eastAsia"/>
          <w:spacing w:val="-4"/>
          <w:kern w:val="0"/>
        </w:rPr>
        <w:t>等</w:t>
      </w:r>
      <w:r>
        <w:rPr>
          <w:rFonts w:hint="eastAsia"/>
          <w:kern w:val="0"/>
        </w:rPr>
        <w:t>の在宅支援を担う人材の確保・充実に努めます。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43"/>
        </w:numPr>
        <w:autoSpaceDE w:val="0"/>
        <w:autoSpaceDN w:val="0"/>
        <w:adjustRightInd w:val="0"/>
        <w:spacing w:line="360" w:lineRule="exact"/>
        <w:jc w:val="left"/>
        <w:rPr>
          <w:rFonts w:hint="default"/>
        </w:rPr>
      </w:pPr>
      <w:r>
        <w:rPr>
          <w:rFonts w:hint="eastAsia"/>
          <w:kern w:val="0"/>
        </w:rPr>
        <w:t>障害福祉サービス等の報酬における処遇改善加算制度</w:t>
      </w:r>
      <w:r>
        <w:rPr>
          <w:rFonts w:hint="eastAsia"/>
          <w:color w:val="000000" w:themeColor="text1"/>
          <w:spacing w:val="-4"/>
          <w:kern w:val="0"/>
          <w:vertAlign w:val="superscript"/>
        </w:rPr>
        <w:t>＊</w:t>
      </w:r>
      <w:r>
        <w:rPr>
          <w:rFonts w:hint="eastAsia"/>
          <w:kern w:val="0"/>
        </w:rPr>
        <w:t>を活用し、福祉・介護職員の賃金の引上げを今後一層図り、更なる人材の確保に努めます。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43"/>
        </w:numPr>
        <w:autoSpaceDE w:val="0"/>
        <w:autoSpaceDN w:val="0"/>
        <w:adjustRightInd w:val="0"/>
        <w:spacing w:line="360" w:lineRule="exact"/>
        <w:jc w:val="left"/>
        <w:rPr>
          <w:rFonts w:hint="default"/>
        </w:rPr>
      </w:pPr>
      <w:r>
        <w:rPr>
          <w:rFonts w:hint="eastAsia"/>
          <w:spacing w:val="-4"/>
          <w:kern w:val="0"/>
        </w:rPr>
        <w:t>障害福祉サービス施設等の職員の業務負担軽減のため、介護ロボットやＩＣＴ機器等の導入を推進します。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43"/>
        </w:numPr>
        <w:autoSpaceDE w:val="0"/>
        <w:autoSpaceDN w:val="0"/>
        <w:adjustRightInd w:val="0"/>
        <w:spacing w:line="360" w:lineRule="exact"/>
        <w:jc w:val="left"/>
        <w:rPr>
          <w:rFonts w:hint="default"/>
        </w:rPr>
      </w:pPr>
      <w:r>
        <w:rPr>
          <w:rFonts w:hint="eastAsia"/>
        </w:rPr>
        <w:t>他業種で働いていた方等の障害福祉分野への転職を促進するため、就職支援金の貸付を実施します。</w:t>
      </w:r>
    </w:p>
    <w:p>
      <w:pPr>
        <w:pStyle w:val="0"/>
        <w:rPr>
          <w:rFonts w:hint="default" w:ascii="ＭＳ ゴシック" w:hAnsi="ＭＳ ゴシック" w:eastAsia="ＭＳ ゴシック"/>
          <w:b w:val="1"/>
        </w:rPr>
      </w:pPr>
    </w:p>
    <w:p>
      <w:pPr>
        <w:pStyle w:val="0"/>
        <w:outlineLvl w:val="2"/>
        <w:rPr>
          <w:rFonts w:hint="default" w:ascii="ＭＳ ゴシック" w:hAnsi="ＭＳ ゴシック" w:eastAsia="ＭＳ ゴシック"/>
        </w:rPr>
      </w:pPr>
      <w:bookmarkStart w:id="101" w:name="_Toc503474060"/>
      <w:r>
        <w:rPr>
          <w:rFonts w:hint="eastAsia" w:ascii="ＭＳ ゴシック" w:hAnsi="ＭＳ ゴシック" w:eastAsia="ＭＳ ゴシック"/>
        </w:rPr>
        <w:t>（４）適切なサービスの確保</w:t>
      </w:r>
      <w:bookmarkEnd w:id="101"/>
    </w:p>
    <w:p>
      <w:pPr>
        <w:pStyle w:val="0"/>
        <w:ind w:left="240" w:hanging="240" w:hangingChars="100"/>
        <w:rPr>
          <w:rFonts w:hint="default"/>
        </w:rPr>
      </w:pPr>
      <w:r>
        <w:rPr>
          <w:rFonts w:hint="eastAsia" w:ascii="ＭＳ ゴシック" w:hAnsi="ＭＳ ゴシック" w:eastAsia="ＭＳ ゴシック"/>
        </w:rPr>
        <w:t>【現状と課題】</w:t>
      </w:r>
    </w:p>
    <w:p>
      <w:pPr>
        <w:pStyle w:val="0"/>
        <w:numPr>
          <w:ilvl w:val="0"/>
          <w:numId w:val="44"/>
        </w:numPr>
        <w:autoSpaceDE w:val="0"/>
        <w:autoSpaceDN w:val="0"/>
        <w:adjustRightInd w:val="0"/>
        <w:spacing w:line="360" w:lineRule="exact"/>
        <w:jc w:val="left"/>
        <w:rPr>
          <w:rFonts w:hint="default"/>
        </w:rPr>
      </w:pPr>
      <w:r>
        <w:rPr>
          <w:rFonts w:hint="eastAsia"/>
        </w:rPr>
        <w:t>サービス提供事業者は、新型コロナウイルス感染症のクラスターを発生させないために、日頃から感染対策の徹底を行う必要があります。</w:t>
      </w:r>
    </w:p>
    <w:p>
      <w:pPr>
        <w:pStyle w:val="0"/>
        <w:autoSpaceDE w:val="0"/>
        <w:autoSpaceDN w:val="0"/>
        <w:adjustRightInd w:val="0"/>
        <w:spacing w:line="360" w:lineRule="exact"/>
        <w:ind w:left="576"/>
        <w:jc w:val="left"/>
        <w:rPr>
          <w:rFonts w:hint="default"/>
        </w:rPr>
      </w:pPr>
    </w:p>
    <w:p>
      <w:pPr>
        <w:pStyle w:val="0"/>
        <w:numPr>
          <w:ilvl w:val="0"/>
          <w:numId w:val="44"/>
        </w:numPr>
        <w:autoSpaceDE w:val="0"/>
        <w:autoSpaceDN w:val="0"/>
        <w:adjustRightInd w:val="0"/>
        <w:spacing w:line="360" w:lineRule="exact"/>
        <w:jc w:val="left"/>
        <w:rPr>
          <w:rFonts w:hint="default"/>
        </w:rPr>
      </w:pPr>
      <w:r>
        <w:rPr>
          <w:rFonts w:hint="eastAsia"/>
          <w:kern w:val="0"/>
        </w:rPr>
        <w:t>障害のある人が身近な地域で生活していくためには、居宅介護（ホームヘルプサービス）</w:t>
      </w:r>
      <w:r>
        <w:rPr>
          <w:rFonts w:hint="eastAsia"/>
          <w:kern w:val="0"/>
          <w:vertAlign w:val="superscript"/>
        </w:rPr>
        <w:t>＊</w:t>
      </w:r>
      <w:r>
        <w:rPr>
          <w:rFonts w:hint="eastAsia"/>
          <w:kern w:val="0"/>
        </w:rPr>
        <w:t>等の訪問系サービス、生活介護（デイサービス）</w:t>
      </w:r>
      <w:r>
        <w:rPr>
          <w:rFonts w:hint="eastAsia"/>
          <w:spacing w:val="-4"/>
          <w:kern w:val="0"/>
          <w:vertAlign w:val="superscript"/>
        </w:rPr>
        <w:t>＊</w:t>
      </w:r>
      <w:r>
        <w:rPr>
          <w:rFonts w:hint="eastAsia"/>
          <w:kern w:val="0"/>
        </w:rPr>
        <w:t>等の日中活動系サービス等、在宅サービスの充実が不可欠です。</w:t>
      </w:r>
    </w:p>
    <w:p>
      <w:pPr>
        <w:pStyle w:val="0"/>
        <w:autoSpaceDE w:val="0"/>
        <w:autoSpaceDN w:val="0"/>
        <w:adjustRightInd w:val="0"/>
        <w:spacing w:line="360" w:lineRule="exact"/>
        <w:ind w:left="576"/>
        <w:jc w:val="left"/>
        <w:rPr>
          <w:rFonts w:hint="default"/>
        </w:rPr>
      </w:pPr>
    </w:p>
    <w:p>
      <w:pPr>
        <w:pStyle w:val="0"/>
        <w:numPr>
          <w:ilvl w:val="0"/>
          <w:numId w:val="29"/>
        </w:numPr>
        <w:autoSpaceDE w:val="0"/>
        <w:autoSpaceDN w:val="0"/>
        <w:adjustRightInd w:val="0"/>
        <w:spacing w:line="360" w:lineRule="exact"/>
        <w:jc w:val="left"/>
        <w:rPr>
          <w:rFonts w:hint="default"/>
        </w:rPr>
      </w:pPr>
      <w:r>
        <w:rPr>
          <w:rFonts w:hint="eastAsia"/>
          <w:kern w:val="0"/>
        </w:rPr>
        <w:t>地域で暮らす障害のある人に障害福祉サービス等を適切に提供するため、事業者に対する指導・監督等を行う必要があります。</w:t>
      </w:r>
    </w:p>
    <w:p>
      <w:pPr>
        <w:pStyle w:val="0"/>
        <w:autoSpaceDE w:val="0"/>
        <w:autoSpaceDN w:val="0"/>
        <w:adjustRightInd w:val="0"/>
        <w:spacing w:line="360" w:lineRule="exact"/>
        <w:ind w:left="576"/>
        <w:jc w:val="left"/>
        <w:rPr>
          <w:rFonts w:hint="default"/>
        </w:rPr>
      </w:pPr>
    </w:p>
    <w:p>
      <w:pPr>
        <w:pStyle w:val="0"/>
        <w:numPr>
          <w:ilvl w:val="0"/>
          <w:numId w:val="29"/>
        </w:numPr>
        <w:autoSpaceDE w:val="0"/>
        <w:autoSpaceDN w:val="0"/>
        <w:adjustRightInd w:val="0"/>
        <w:spacing w:line="360" w:lineRule="exact"/>
        <w:jc w:val="left"/>
        <w:rPr>
          <w:rFonts w:hint="default"/>
        </w:rPr>
      </w:pPr>
      <w:r>
        <w:rPr>
          <w:rFonts w:hint="eastAsia"/>
          <w:kern w:val="0"/>
        </w:rPr>
        <w:t>たんの吸引等の医療的ケアについては、一定の研修を受け県から認定を受けた介護職員等に加え、</w:t>
      </w:r>
      <w:r>
        <w:rPr>
          <w:rFonts w:hint="eastAsia"/>
          <w:kern w:val="0"/>
        </w:rPr>
        <w:t>2017</w:t>
      </w:r>
      <w:r>
        <w:rPr>
          <w:rFonts w:hint="eastAsia"/>
          <w:kern w:val="0"/>
        </w:rPr>
        <w:t>年１月以降の国家試験に合格した介護福祉士にも認められることになりました。</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numPr>
          <w:ilvl w:val="0"/>
          <w:numId w:val="45"/>
        </w:numPr>
        <w:autoSpaceDE w:val="0"/>
        <w:autoSpaceDN w:val="0"/>
        <w:adjustRightInd w:val="0"/>
        <w:spacing w:line="360" w:lineRule="exact"/>
        <w:jc w:val="left"/>
        <w:rPr>
          <w:rFonts w:hint="default"/>
          <w:spacing w:val="-4"/>
          <w:kern w:val="0"/>
          <w:sz w:val="16"/>
        </w:rPr>
      </w:pPr>
      <w:r>
        <w:rPr>
          <w:rFonts w:hint="eastAsia"/>
          <w:kern w:val="0"/>
        </w:rPr>
        <w:t>身近な地域でいつでも必要な障害福祉サービス等が利用できるように、サービス提供体制の充実を図るとともに、各市町と連携してサービスの内容や手続き等の周知に努めます。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sz w:val="16"/>
        </w:rPr>
      </w:pPr>
    </w:p>
    <w:p>
      <w:pPr>
        <w:pStyle w:val="0"/>
        <w:numPr>
          <w:ilvl w:val="0"/>
          <w:numId w:val="45"/>
        </w:numPr>
        <w:autoSpaceDE w:val="0"/>
        <w:autoSpaceDN w:val="0"/>
        <w:adjustRightInd w:val="0"/>
        <w:spacing w:line="360" w:lineRule="exact"/>
        <w:jc w:val="left"/>
        <w:rPr>
          <w:rFonts w:hint="default"/>
        </w:rPr>
      </w:pPr>
      <w:r>
        <w:rPr>
          <w:rFonts w:hint="eastAsia"/>
          <w:kern w:val="0"/>
        </w:rPr>
        <w:t>障害福祉サービスが不足する場合に、事業者の指定要件を満たしていなくても市町が自立支援給付費の対象と認めることができる基準該当障害福祉サービス</w:t>
      </w:r>
      <w:r>
        <w:rPr>
          <w:rFonts w:hint="eastAsia"/>
          <w:kern w:val="0"/>
          <w:vertAlign w:val="superscript"/>
        </w:rPr>
        <w:t>＊</w:t>
      </w:r>
      <w:r>
        <w:rPr>
          <w:rFonts w:hint="eastAsia"/>
          <w:kern w:val="0"/>
        </w:rPr>
        <w:t>制度を活用してサービスが提供できるよう、事業者への周知と制度の普及に努めます。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45"/>
        </w:numPr>
        <w:autoSpaceDE w:val="0"/>
        <w:autoSpaceDN w:val="0"/>
        <w:adjustRightInd w:val="0"/>
        <w:spacing w:line="360" w:lineRule="exact"/>
        <w:jc w:val="left"/>
        <w:rPr>
          <w:rFonts w:hint="default"/>
          <w:spacing w:val="-4"/>
          <w:kern w:val="0"/>
        </w:rPr>
      </w:pPr>
      <w:r>
        <w:rPr>
          <w:rFonts w:hint="eastAsia"/>
          <w:kern w:val="0"/>
        </w:rPr>
        <w:t>障害福祉サービス事業者等に対し、サービス利用者のニーズに的確に対応した事業を実施するとともに、不正行為を未然に防止し、法令遵守義務の履行を確保する観点から業務管理体制</w:t>
      </w:r>
      <w:r>
        <w:rPr>
          <w:rFonts w:hint="eastAsia"/>
          <w:kern w:val="0"/>
          <w:vertAlign w:val="superscript"/>
        </w:rPr>
        <w:t>＊</w:t>
      </w:r>
      <w:r>
        <w:rPr>
          <w:rFonts w:hint="eastAsia"/>
          <w:kern w:val="0"/>
        </w:rPr>
        <w:t>の整備についての指導・助言を実施します。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45"/>
        </w:numPr>
        <w:autoSpaceDE w:val="0"/>
        <w:autoSpaceDN w:val="0"/>
        <w:adjustRightInd w:val="0"/>
        <w:spacing w:line="360" w:lineRule="exact"/>
        <w:jc w:val="left"/>
        <w:rPr>
          <w:rFonts w:hint="default"/>
        </w:rPr>
      </w:pPr>
      <w:r>
        <w:rPr>
          <w:rFonts w:hint="eastAsia"/>
          <w:kern w:val="0"/>
        </w:rPr>
        <w:t>介護職員等によるたんの吸引等が適正に行われるように制度の普及啓発に努めるとともに、喀痰実施事業者の登録・指導を実施します。また、たんの吸引等を実施する介護職員が、必要な時に適切な研修が受講できるように、研修機関の登録・充実に努め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45"/>
        </w:numPr>
        <w:autoSpaceDE w:val="0"/>
        <w:autoSpaceDN w:val="0"/>
        <w:adjustRightInd w:val="0"/>
        <w:spacing w:line="360" w:lineRule="exact"/>
        <w:jc w:val="left"/>
        <w:rPr>
          <w:rFonts w:hint="default"/>
          <w:color w:val="000000" w:themeColor="text1"/>
        </w:rPr>
      </w:pPr>
      <w:r>
        <w:rPr>
          <w:rFonts w:hint="eastAsia"/>
          <w:color w:val="000000" w:themeColor="text1"/>
        </w:rPr>
        <w:t>福祉施設のための感染症クラスター対策マニュアルを作成し、感染予防チェックリストや感染者発生時の対応フローを示すなど、サービス提供事業者の対応を支援しています。</w:t>
      </w:r>
      <w:r>
        <w:rPr>
          <w:rFonts w:hint="eastAsia"/>
          <w:color w:val="000000" w:themeColor="text1"/>
          <w:spacing w:val="-4"/>
          <w:kern w:val="0"/>
          <w:sz w:val="16"/>
        </w:rPr>
        <w:t>、</w:t>
      </w:r>
      <w:r>
        <w:rPr>
          <w:rFonts w:hint="eastAsia"/>
          <w:color w:val="000000" w:themeColor="text1"/>
          <w:spacing w:val="-4"/>
          <w:kern w:val="0"/>
          <w:sz w:val="16"/>
        </w:rPr>
        <w:t>[</w:t>
      </w:r>
      <w:r>
        <w:rPr>
          <w:rFonts w:hint="eastAsia"/>
          <w:color w:val="000000" w:themeColor="text1"/>
          <w:spacing w:val="-4"/>
          <w:kern w:val="0"/>
          <w:sz w:val="16"/>
        </w:rPr>
        <w:t>健康福祉部福祉長寿局</w:t>
      </w:r>
      <w:r>
        <w:rPr>
          <w:rFonts w:hint="eastAsia"/>
          <w:color w:val="000000" w:themeColor="text1"/>
          <w:spacing w:val="-4"/>
          <w:kern w:val="0"/>
          <w:sz w:val="16"/>
        </w:rPr>
        <w:t>]</w:t>
      </w:r>
    </w:p>
    <w:p>
      <w:pPr>
        <w:pStyle w:val="0"/>
        <w:autoSpaceDE w:val="0"/>
        <w:autoSpaceDN w:val="0"/>
        <w:adjustRightInd w:val="0"/>
        <w:spacing w:line="360" w:lineRule="exact"/>
        <w:ind w:left="576"/>
        <w:jc w:val="left"/>
        <w:rPr>
          <w:rFonts w:hint="default"/>
          <w:color w:val="000000" w:themeColor="text1"/>
        </w:rPr>
      </w:pPr>
    </w:p>
    <w:p>
      <w:pPr>
        <w:pStyle w:val="0"/>
        <w:numPr>
          <w:ilvl w:val="0"/>
          <w:numId w:val="45"/>
        </w:numPr>
        <w:autoSpaceDE w:val="0"/>
        <w:autoSpaceDN w:val="0"/>
        <w:adjustRightInd w:val="0"/>
        <w:spacing w:line="360" w:lineRule="exact"/>
        <w:jc w:val="left"/>
        <w:rPr>
          <w:rFonts w:hint="default"/>
          <w:color w:val="000000" w:themeColor="text1"/>
          <w:u w:val="single" w:color="auto"/>
        </w:rPr>
      </w:pPr>
      <w:r>
        <w:rPr>
          <w:rFonts w:hint="eastAsia"/>
          <w:color w:val="000000" w:themeColor="text1"/>
        </w:rPr>
        <w:t>障害福祉サービス事業所等で利用者や職員が新型コロナウイルスに感染した場合には、事業所の消毒などのかかり増し経費や衛生物品の確保を支援します。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ind w:left="576"/>
        <w:jc w:val="left"/>
        <w:rPr>
          <w:rFonts w:hint="default"/>
          <w:color w:val="000000" w:themeColor="text1"/>
          <w:u w:val="single" w:color="auto"/>
        </w:rPr>
      </w:pPr>
    </w:p>
    <w:p>
      <w:pPr>
        <w:pStyle w:val="0"/>
        <w:rPr>
          <w:rFonts w:hint="default"/>
        </w:rPr>
      </w:pPr>
      <w:r>
        <w:rPr>
          <w:rFonts w:hint="eastAsia" w:ascii="ＭＳ ゴシック" w:hAnsi="ＭＳ ゴシック" w:eastAsia="ＭＳ ゴシック"/>
        </w:rPr>
        <w:t>【数値目標】</w:t>
      </w:r>
    </w:p>
    <w:tbl>
      <w:tblPr>
        <w:tblStyle w:val="11"/>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4"/>
        <w:gridCol w:w="4871"/>
        <w:gridCol w:w="2189"/>
        <w:gridCol w:w="2189"/>
      </w:tblGrid>
      <w:tr>
        <w:trPr>
          <w:trHeight w:val="202"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468"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障害福祉サービス１か月当たり利用人数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31,025</w:t>
            </w:r>
            <w:r>
              <w:rPr>
                <w:rFonts w:hint="eastAsia"/>
                <w:color w:val="000000" w:themeColor="text1"/>
              </w:rPr>
              <w:t>人</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39,703</w:t>
            </w:r>
            <w:r>
              <w:rPr>
                <w:rFonts w:hint="eastAsia"/>
                <w:color w:val="000000" w:themeColor="text1"/>
              </w:rPr>
              <w:t>人</w:t>
            </w:r>
          </w:p>
        </w:tc>
      </w:tr>
      <w:tr>
        <w:trPr>
          <w:trHeight w:val="468"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２</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障害福祉サービス事業所数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2020</w:t>
            </w:r>
            <w:r>
              <w:rPr>
                <w:rFonts w:hint="eastAsia"/>
                <w:color w:val="000000" w:themeColor="text1"/>
              </w:rPr>
              <w:t>年度</w:t>
            </w:r>
            <w:r>
              <w:rPr>
                <w:rFonts w:hint="eastAsia"/>
                <w:color w:val="000000" w:themeColor="text1"/>
              </w:rPr>
              <w:t>)</w:t>
            </w:r>
          </w:p>
          <w:p>
            <w:pPr>
              <w:pStyle w:val="0"/>
              <w:spacing w:line="360" w:lineRule="exact"/>
              <w:jc w:val="center"/>
              <w:rPr>
                <w:rFonts w:hint="default"/>
                <w:color w:val="000000" w:themeColor="text1"/>
              </w:rPr>
            </w:pPr>
            <w:r>
              <w:rPr>
                <w:rFonts w:hint="eastAsia"/>
                <w:color w:val="000000" w:themeColor="text1"/>
              </w:rPr>
              <w:t>2,220</w:t>
            </w:r>
            <w:r>
              <w:rPr>
                <w:rFonts w:hint="eastAsia"/>
                <w:color w:val="000000" w:themeColor="text1"/>
              </w:rPr>
              <w:t>箇所</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2023</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2,774</w:t>
            </w:r>
            <w:r>
              <w:rPr>
                <w:rFonts w:hint="eastAsia"/>
                <w:color w:val="000000" w:themeColor="text1"/>
              </w:rPr>
              <w:t>箇所</w:t>
            </w:r>
          </w:p>
        </w:tc>
      </w:tr>
      <w:tr>
        <w:trPr>
          <w:trHeight w:val="468"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３</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たんの吸引登録研修機関数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2016</w:t>
            </w:r>
            <w:r>
              <w:rPr>
                <w:rFonts w:hint="eastAsia"/>
              </w:rPr>
              <w:t>年度）</w:t>
            </w:r>
          </w:p>
          <w:p>
            <w:pPr>
              <w:pStyle w:val="0"/>
              <w:spacing w:line="360" w:lineRule="exact"/>
              <w:jc w:val="center"/>
              <w:rPr>
                <w:rFonts w:hint="default"/>
              </w:rPr>
            </w:pPr>
            <w:r>
              <w:rPr>
                <w:rFonts w:hint="eastAsia"/>
              </w:rPr>
              <w:t>9</w:t>
            </w:r>
            <w:r>
              <w:rPr>
                <w:rFonts w:hint="eastAsia"/>
              </w:rPr>
              <w:t>箇所</w:t>
            </w:r>
          </w:p>
        </w:tc>
        <w:tc>
          <w:tcPr>
            <w:tcW w:w="2189" w:type="dxa"/>
            <w:vAlign w:val="center"/>
          </w:tcPr>
          <w:p>
            <w:pPr>
              <w:pStyle w:val="0"/>
              <w:spacing w:line="360" w:lineRule="exact"/>
              <w:jc w:val="center"/>
              <w:rPr>
                <w:rFonts w:hint="default"/>
              </w:rPr>
            </w:pPr>
            <w:r>
              <w:rPr>
                <w:rFonts w:hint="eastAsia"/>
              </w:rPr>
              <w:t>（</w:t>
            </w:r>
            <w:r>
              <w:rPr>
                <w:rFonts w:hint="eastAsia"/>
              </w:rPr>
              <w:t>2022</w:t>
            </w:r>
            <w:r>
              <w:rPr>
                <w:rFonts w:hint="eastAsia"/>
              </w:rPr>
              <w:t>年度）</w:t>
            </w:r>
          </w:p>
          <w:p>
            <w:pPr>
              <w:pStyle w:val="0"/>
              <w:spacing w:line="360" w:lineRule="exact"/>
              <w:jc w:val="center"/>
              <w:rPr>
                <w:rFonts w:hint="default"/>
              </w:rPr>
            </w:pPr>
            <w:r>
              <w:rPr>
                <w:rFonts w:hint="eastAsia"/>
              </w:rPr>
              <w:t>12</w:t>
            </w:r>
            <w:r>
              <w:rPr>
                <w:rFonts w:hint="eastAsia"/>
              </w:rPr>
              <w:t>箇所</w:t>
            </w:r>
          </w:p>
        </w:tc>
      </w:tr>
    </w:tbl>
    <w:p>
      <w:pPr>
        <w:pStyle w:val="0"/>
        <w:rPr>
          <w:rFonts w:hint="default" w:ascii="ＭＳ ゴシック" w:hAnsi="ＭＳ ゴシック" w:eastAsia="ＭＳ ゴシック"/>
          <w:b w:val="1"/>
        </w:rPr>
      </w:pPr>
    </w:p>
    <w:p>
      <w:pPr>
        <w:pStyle w:val="0"/>
        <w:rPr>
          <w:rFonts w:hint="default" w:ascii="ＭＳ ゴシック" w:hAnsi="ＭＳ ゴシック" w:eastAsia="ＭＳ ゴシック"/>
          <w:b w:val="1"/>
        </w:rPr>
      </w:pPr>
    </w:p>
    <w:p>
      <w:pPr>
        <w:pStyle w:val="0"/>
        <w:outlineLvl w:val="2"/>
        <w:rPr>
          <w:rFonts w:hint="default" w:ascii="ＭＳ ゴシック" w:hAnsi="ＭＳ ゴシック" w:eastAsia="ＭＳ ゴシック"/>
        </w:rPr>
      </w:pPr>
      <w:r>
        <w:rPr>
          <w:rFonts w:hint="eastAsia" w:ascii="ＭＳ ゴシック" w:hAnsi="ＭＳ ゴシック" w:eastAsia="ＭＳ ゴシック"/>
          <w:color w:val="000000" w:themeColor="text1"/>
        </w:rPr>
        <w:t>（５）</w:t>
      </w:r>
      <w:r>
        <w:rPr>
          <w:rFonts w:hint="eastAsia" w:ascii="ＭＳ ゴシック" w:hAnsi="ＭＳ ゴシック" w:eastAsia="ＭＳ ゴシック"/>
        </w:rPr>
        <w:t>施設サービスの充実</w:t>
      </w:r>
    </w:p>
    <w:p>
      <w:pPr>
        <w:pStyle w:val="0"/>
        <w:rPr>
          <w:rFonts w:hint="default"/>
        </w:rPr>
      </w:pPr>
      <w:r>
        <w:rPr>
          <w:rFonts w:hint="eastAsia" w:ascii="ＭＳ ゴシック" w:hAnsi="ＭＳ ゴシック" w:eastAsia="ＭＳ ゴシック"/>
        </w:rPr>
        <w:t>【現状と課題】</w:t>
      </w:r>
    </w:p>
    <w:p>
      <w:pPr>
        <w:pStyle w:val="0"/>
        <w:numPr>
          <w:ilvl w:val="0"/>
          <w:numId w:val="46"/>
        </w:numPr>
        <w:autoSpaceDE w:val="0"/>
        <w:autoSpaceDN w:val="0"/>
        <w:adjustRightInd w:val="0"/>
        <w:spacing w:line="360" w:lineRule="exact"/>
        <w:jc w:val="left"/>
        <w:rPr>
          <w:rFonts w:hint="default"/>
        </w:rPr>
      </w:pPr>
      <w:r>
        <w:rPr>
          <w:rFonts w:hint="eastAsia"/>
          <w:kern w:val="0"/>
        </w:rPr>
        <w:t>障害者支援施設に入所している人の地域生活への移行を進め、県内の施設入所者数や入所定員は減少しましたが、一方で、施設入所サービスを必要としている人がいるため、施設入所待機者が解消されていません。また、地域移行した施設利用者が、高齢化や身体状況の悪化などにより地域生活が困難となり、再び施設入所が必要となる場合もありま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rPr>
      </w:pPr>
      <w:r>
        <w:rPr>
          <w:rFonts w:hint="eastAsia"/>
          <w:kern w:val="0"/>
        </w:rPr>
        <w:t>施設サービスを充実させるため、利用者の障害種別、程度、ライフステージに応じた指導・訓練や健康管理支援等の充実に努め、施設利用者の視点に立った施設福祉サービスの向上を図っていく必要がありま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color w:val="000000" w:themeColor="text1"/>
        </w:rPr>
      </w:pPr>
      <w:r>
        <w:rPr>
          <w:rFonts w:hint="eastAsia"/>
          <w:kern w:val="0"/>
        </w:rPr>
        <w:t>養護者による障害者虐待があった場合の一時的保護の受入や福祉避難所</w:t>
      </w:r>
      <w:r>
        <w:rPr>
          <w:rFonts w:hint="eastAsia"/>
          <w:spacing w:val="-4"/>
          <w:kern w:val="0"/>
          <w:vertAlign w:val="superscript"/>
        </w:rPr>
        <w:t>＊</w:t>
      </w:r>
      <w:r>
        <w:rPr>
          <w:rFonts w:hint="eastAsia"/>
          <w:kern w:val="0"/>
        </w:rPr>
        <w:t>など、</w:t>
      </w:r>
      <w:r>
        <w:rPr>
          <w:rFonts w:hint="eastAsia"/>
          <w:color w:val="000000" w:themeColor="text1"/>
          <w:kern w:val="0"/>
        </w:rPr>
        <w:t>施設による地域への支援機能の充実を図る必要があります。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36"/>
        </w:numPr>
        <w:autoSpaceDE w:val="0"/>
        <w:autoSpaceDN w:val="0"/>
        <w:adjustRightInd w:val="0"/>
        <w:spacing w:line="360" w:lineRule="exact"/>
        <w:jc w:val="left"/>
        <w:rPr>
          <w:rFonts w:hint="default"/>
          <w:color w:val="000000" w:themeColor="text1"/>
          <w:spacing w:val="-4"/>
          <w:kern w:val="0"/>
        </w:rPr>
      </w:pPr>
      <w:r>
        <w:rPr>
          <w:rFonts w:hint="eastAsia"/>
          <w:color w:val="000000" w:themeColor="text1"/>
          <w:kern w:val="0"/>
        </w:rPr>
        <w:t>県立施設は、利用者のニーズに対応した支援等をより効果的に提供していく必要があります。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spacing w:line="360" w:lineRule="exact"/>
        <w:ind w:firstLine="232" w:firstLineChars="100"/>
        <w:rPr>
          <w:rFonts w:hint="default" w:ascii="ＭＳ ゴシック" w:hAnsi="ＭＳ ゴシック" w:eastAsia="ＭＳ ゴシック"/>
          <w:spacing w:val="-4"/>
        </w:rPr>
      </w:pPr>
      <w:r>
        <w:rPr>
          <w:rFonts w:hint="eastAsia" w:ascii="ＭＳ ゴシック" w:hAnsi="ＭＳ ゴシック" w:eastAsia="ＭＳ ゴシック"/>
          <w:spacing w:val="-4"/>
        </w:rPr>
        <w:t>ア　</w:t>
      </w:r>
      <w:r>
        <w:rPr>
          <w:rFonts w:hint="eastAsia" w:ascii="ＭＳ ゴシック" w:hAnsi="ＭＳ ゴシック" w:eastAsia="ＭＳ ゴシック"/>
          <w:kern w:val="0"/>
        </w:rPr>
        <w:t>入所を必要とする人への施設サービスの提供</w:t>
      </w:r>
    </w:p>
    <w:p>
      <w:pPr>
        <w:pStyle w:val="0"/>
        <w:numPr>
          <w:ilvl w:val="0"/>
          <w:numId w:val="47"/>
        </w:numPr>
        <w:autoSpaceDE w:val="0"/>
        <w:autoSpaceDN w:val="0"/>
        <w:adjustRightInd w:val="0"/>
        <w:spacing w:line="360" w:lineRule="exact"/>
        <w:jc w:val="left"/>
        <w:rPr>
          <w:rFonts w:hint="default"/>
          <w:spacing w:val="-4"/>
          <w:kern w:val="0"/>
          <w:sz w:val="16"/>
        </w:rPr>
      </w:pPr>
      <w:r>
        <w:rPr>
          <w:rFonts w:hint="eastAsia"/>
          <w:kern w:val="0"/>
        </w:rPr>
        <w:t>真に入所による支援を必要とする人がサービスを利用することができるよう、県内の障害者支援施設の入所定員を維持するとともに、地域での生活を希望する又は生活する能力がある施設入所者の地域生活への移行を促進し、施設入所待機者の減少に努め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47"/>
        </w:numPr>
        <w:autoSpaceDE w:val="0"/>
        <w:autoSpaceDN w:val="0"/>
        <w:adjustRightInd w:val="0"/>
        <w:spacing w:line="360" w:lineRule="exact"/>
        <w:jc w:val="left"/>
        <w:rPr>
          <w:rFonts w:hint="default"/>
          <w:spacing w:val="-4"/>
          <w:kern w:val="0"/>
        </w:rPr>
      </w:pPr>
      <w:r>
        <w:rPr>
          <w:rFonts w:hint="eastAsia"/>
          <w:kern w:val="0"/>
        </w:rPr>
        <w:t>障害の状況や介護者の状況などに応じて、施設入所を必要とする人が施設サービスを円滑かつ公平に利用することができるように、待機者の入所の必要度を客観的に評価し、入所順位を決定する入所利用調整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spacing w:line="360" w:lineRule="exact"/>
        <w:ind w:left="730" w:leftChars="111" w:hanging="464" w:hangingChars="200"/>
        <w:rPr>
          <w:rFonts w:hint="default" w:ascii="ＭＳ ゴシック" w:hAnsi="ＭＳ ゴシック" w:eastAsia="ＭＳ ゴシック"/>
          <w:kern w:val="16"/>
          <w:u w:val="wave" w:color="auto"/>
        </w:rPr>
      </w:pPr>
      <w:r>
        <w:rPr>
          <w:rFonts w:hint="eastAsia" w:ascii="ＭＳ ゴシック" w:hAnsi="ＭＳ ゴシック" w:eastAsia="ＭＳ ゴシック"/>
          <w:spacing w:val="-4"/>
        </w:rPr>
        <w:t>イ　サービスの質の向上</w:t>
      </w:r>
    </w:p>
    <w:p>
      <w:pPr>
        <w:pStyle w:val="0"/>
        <w:numPr>
          <w:ilvl w:val="0"/>
          <w:numId w:val="48"/>
        </w:numPr>
        <w:autoSpaceDE w:val="0"/>
        <w:autoSpaceDN w:val="0"/>
        <w:adjustRightInd w:val="0"/>
        <w:spacing w:line="360" w:lineRule="exact"/>
        <w:jc w:val="left"/>
        <w:rPr>
          <w:rFonts w:hint="default"/>
          <w:spacing w:val="-4"/>
          <w:kern w:val="0"/>
        </w:rPr>
      </w:pPr>
      <w:r>
        <w:rPr>
          <w:rFonts w:hint="eastAsia"/>
          <w:kern w:val="0"/>
        </w:rPr>
        <w:t>施設の有する様々な機能を、地域で生活する障害のある人が利用できるように、地域への支援機能の充実を図ります。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48"/>
        </w:numPr>
        <w:autoSpaceDE w:val="0"/>
        <w:autoSpaceDN w:val="0"/>
        <w:adjustRightInd w:val="0"/>
        <w:spacing w:line="360" w:lineRule="exact"/>
        <w:jc w:val="left"/>
        <w:rPr>
          <w:rFonts w:hint="default"/>
          <w:spacing w:val="-4"/>
          <w:kern w:val="0"/>
        </w:rPr>
      </w:pPr>
      <w:r>
        <w:rPr>
          <w:rFonts w:hint="eastAsia"/>
          <w:kern w:val="0"/>
        </w:rPr>
        <w:t>事業者指導等を通じて、職員の適正配置、設備の確保、適切な利用者の処遇などに関する事業者のサービス提供体制をチェックするほか、施設における苦情解決体制や評価制度を整備するとともに、障害者支援施設等に対する研修の充実に努めることによって利用者本位のサービスの質の向上に努めます。</w:t>
      </w:r>
      <w:r>
        <w:rPr>
          <w:rFonts w:hint="eastAsia"/>
          <w:spacing w:val="-4"/>
          <w:kern w:val="0"/>
          <w:sz w:val="16"/>
        </w:rPr>
        <w:t>[</w:t>
      </w:r>
      <w:r>
        <w:rPr>
          <w:rFonts w:hint="eastAsia"/>
          <w:spacing w:val="-4"/>
          <w:kern w:val="0"/>
          <w:sz w:val="16"/>
        </w:rPr>
        <w:t>健康福祉部福祉長寿局</w:t>
      </w:r>
      <w:r>
        <w:rPr>
          <w:rFonts w:hint="eastAsia"/>
          <w:spacing w:val="-4"/>
          <w:kern w:val="0"/>
          <w:sz w:val="16"/>
        </w:rPr>
        <w:t xml:space="preserve">] </w:t>
      </w:r>
    </w:p>
    <w:p>
      <w:pPr>
        <w:pStyle w:val="0"/>
        <w:autoSpaceDE w:val="0"/>
        <w:autoSpaceDN w:val="0"/>
        <w:adjustRightInd w:val="0"/>
        <w:spacing w:line="360" w:lineRule="exact"/>
        <w:ind w:left="868"/>
        <w:jc w:val="left"/>
        <w:rPr>
          <w:rFonts w:hint="default"/>
          <w:spacing w:val="-4"/>
          <w:kern w:val="0"/>
        </w:rPr>
      </w:pPr>
    </w:p>
    <w:p>
      <w:pPr>
        <w:pStyle w:val="0"/>
        <w:autoSpaceDE w:val="0"/>
        <w:autoSpaceDN w:val="0"/>
        <w:adjustRightInd w:val="0"/>
        <w:spacing w:line="360" w:lineRule="exact"/>
        <w:ind w:left="868"/>
        <w:jc w:val="left"/>
        <w:rPr>
          <w:rFonts w:hint="default"/>
          <w:spacing w:val="-4"/>
          <w:kern w:val="0"/>
        </w:rPr>
      </w:pPr>
    </w:p>
    <w:p>
      <w:pPr>
        <w:pStyle w:val="0"/>
        <w:spacing w:line="360" w:lineRule="exact"/>
        <w:ind w:left="732" w:leftChars="105" w:hanging="480" w:hangingChars="200"/>
        <w:rPr>
          <w:rFonts w:hint="default" w:ascii="ＭＳ ゴシック" w:hAnsi="ＭＳ ゴシック" w:eastAsia="ＭＳ ゴシック"/>
          <w:kern w:val="16"/>
        </w:rPr>
      </w:pPr>
      <w:r>
        <w:rPr>
          <w:rFonts w:hint="eastAsia" w:ascii="ＭＳ ゴシック" w:hAnsi="ＭＳ ゴシック" w:eastAsia="ＭＳ ゴシック"/>
          <w:kern w:val="16"/>
        </w:rPr>
        <w:t>ウ　県立施設の適切な管理</w:t>
      </w:r>
    </w:p>
    <w:p>
      <w:pPr>
        <w:pStyle w:val="0"/>
        <w:numPr>
          <w:ilvl w:val="0"/>
          <w:numId w:val="49"/>
        </w:numPr>
        <w:autoSpaceDE w:val="0"/>
        <w:autoSpaceDN w:val="0"/>
        <w:adjustRightInd w:val="0"/>
        <w:spacing w:line="360" w:lineRule="exact"/>
        <w:jc w:val="left"/>
        <w:rPr>
          <w:rFonts w:hint="default"/>
          <w:color w:val="000000" w:themeColor="text1"/>
          <w:kern w:val="0"/>
        </w:rPr>
      </w:pPr>
      <w:r>
        <w:rPr>
          <w:rFonts w:hint="eastAsia"/>
          <w:color w:val="000000" w:themeColor="text1"/>
          <w:kern w:val="0"/>
        </w:rPr>
        <w:t>磐田学園については、引き続き県内の知的障害児施設の中核として、入所支援はもとより、福祉人材の確保・養成等にも積極的に取り組んでいきます。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kern w:val="0"/>
        </w:rPr>
      </w:pPr>
    </w:p>
    <w:p>
      <w:pPr>
        <w:pStyle w:val="0"/>
        <w:numPr>
          <w:ilvl w:val="0"/>
          <w:numId w:val="49"/>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kern w:val="0"/>
        </w:rPr>
        <w:t>浜松学園及び富士見学園については、利用者ニーズの変化や施設の老朽化を踏まえて、民間法人の経験と創意工夫を活かした民営化への移行を円滑に進めていきます。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outlineLvl w:val="2"/>
        <w:rPr>
          <w:rFonts w:hint="default" w:ascii="ＭＳ ゴシック" w:hAnsi="ＭＳ ゴシック" w:eastAsia="ＭＳ ゴシック"/>
          <w:b w:val="1"/>
          <w:color w:val="000000" w:themeColor="text1"/>
        </w:rPr>
      </w:pPr>
    </w:p>
    <w:p>
      <w:pPr>
        <w:pStyle w:val="0"/>
        <w:outlineLvl w:val="2"/>
        <w:rPr>
          <w:rFonts w:hint="default" w:ascii="ＭＳ ゴシック" w:hAnsi="ＭＳ ゴシック" w:eastAsia="ＭＳ ゴシック"/>
          <w:color w:val="000000" w:themeColor="text1"/>
        </w:rPr>
      </w:pPr>
      <w:bookmarkStart w:id="102" w:name="_Toc503474061"/>
      <w:r>
        <w:rPr>
          <w:rFonts w:hint="eastAsia" w:ascii="ＭＳ ゴシック" w:hAnsi="ＭＳ ゴシック" w:eastAsia="ＭＳ ゴシック"/>
          <w:color w:val="000000" w:themeColor="text1"/>
        </w:rPr>
        <w:t>（６）福祉用具・身体障害者補助犬</w:t>
      </w:r>
      <w:r>
        <w:rPr>
          <w:rFonts w:hint="eastAsia"/>
          <w:color w:val="000000" w:themeColor="text1"/>
          <w:spacing w:val="-4"/>
          <w:kern w:val="0"/>
          <w:vertAlign w:val="superscript"/>
        </w:rPr>
        <w:t>＊</w:t>
      </w:r>
      <w:r>
        <w:rPr>
          <w:rFonts w:hint="eastAsia" w:ascii="ＭＳ ゴシック" w:hAnsi="ＭＳ ゴシック" w:eastAsia="ＭＳ ゴシック"/>
          <w:color w:val="000000" w:themeColor="text1"/>
        </w:rPr>
        <w:t>の普及・拡充</w:t>
      </w:r>
      <w:bookmarkEnd w:id="102"/>
    </w:p>
    <w:p>
      <w:pPr>
        <w:pStyle w:val="0"/>
        <w:rPr>
          <w:rFonts w:hint="default"/>
        </w:rPr>
      </w:pPr>
      <w:r>
        <w:rPr>
          <w:rFonts w:hint="eastAsia" w:ascii="ＭＳ ゴシック" w:hAnsi="ＭＳ ゴシック" w:eastAsia="ＭＳ ゴシック"/>
        </w:rPr>
        <w:t>【現状と課題】</w:t>
      </w:r>
    </w:p>
    <w:p>
      <w:pPr>
        <w:pStyle w:val="0"/>
        <w:numPr>
          <w:ilvl w:val="0"/>
          <w:numId w:val="50"/>
        </w:numPr>
        <w:autoSpaceDE w:val="0"/>
        <w:autoSpaceDN w:val="0"/>
        <w:adjustRightInd w:val="0"/>
        <w:spacing w:line="360" w:lineRule="exact"/>
        <w:jc w:val="left"/>
        <w:rPr>
          <w:rFonts w:hint="default"/>
        </w:rPr>
      </w:pPr>
      <w:r>
        <w:rPr>
          <w:rFonts w:hint="eastAsia"/>
          <w:kern w:val="0"/>
        </w:rPr>
        <w:t>障害のある人の自立と社会参加の促進のため、障害のある人の個々のニーズに合った福祉用具の活用を推進することが必要です。</w:t>
      </w:r>
    </w:p>
    <w:p>
      <w:pPr>
        <w:pStyle w:val="0"/>
        <w:autoSpaceDE w:val="0"/>
        <w:autoSpaceDN w:val="0"/>
        <w:adjustRightInd w:val="0"/>
        <w:jc w:val="left"/>
        <w:rPr>
          <w:rFonts w:hint="default"/>
        </w:rPr>
      </w:pPr>
    </w:p>
    <w:p>
      <w:pPr>
        <w:pStyle w:val="0"/>
        <w:autoSpaceDE w:val="0"/>
        <w:autoSpaceDN w:val="0"/>
        <w:adjustRightInd w:val="0"/>
        <w:jc w:val="left"/>
        <w:rPr>
          <w:rFonts w:hint="default"/>
        </w:rPr>
      </w:pPr>
      <w:r>
        <w:rPr>
          <w:rFonts w:hint="eastAsia" w:ascii="ＭＳ ゴシック" w:hAnsi="ＭＳ ゴシック" w:eastAsia="ＭＳ ゴシック"/>
        </w:rPr>
        <w:t>【県の取組】</w:t>
      </w:r>
    </w:p>
    <w:p>
      <w:pPr>
        <w:pStyle w:val="0"/>
        <w:numPr>
          <w:ilvl w:val="0"/>
          <w:numId w:val="51"/>
        </w:numPr>
        <w:autoSpaceDE w:val="0"/>
        <w:autoSpaceDN w:val="0"/>
        <w:adjustRightInd w:val="0"/>
        <w:spacing w:line="360" w:lineRule="exact"/>
        <w:jc w:val="left"/>
        <w:rPr>
          <w:rFonts w:hint="default"/>
          <w:spacing w:val="-4"/>
          <w:kern w:val="0"/>
          <w:sz w:val="16"/>
        </w:rPr>
      </w:pPr>
      <w:r>
        <w:rPr>
          <w:rFonts w:hint="eastAsia"/>
          <w:kern w:val="0"/>
        </w:rPr>
        <w:t>身体に障害のある人の自立や社会参加を促進するため、市町が実施する補装具</w:t>
      </w:r>
      <w:r>
        <w:rPr>
          <w:rFonts w:hint="eastAsia"/>
          <w:spacing w:val="-4"/>
          <w:kern w:val="0"/>
          <w:vertAlign w:val="superscript"/>
        </w:rPr>
        <w:t>＊</w:t>
      </w:r>
      <w:r>
        <w:rPr>
          <w:rFonts w:hint="eastAsia"/>
          <w:kern w:val="0"/>
        </w:rPr>
        <w:t>の給付に関して、要否の判定など専門的な支援を行います。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sz w:val="16"/>
        </w:rPr>
      </w:pPr>
    </w:p>
    <w:p>
      <w:pPr>
        <w:pStyle w:val="0"/>
        <w:numPr>
          <w:ilvl w:val="0"/>
          <w:numId w:val="51"/>
        </w:numPr>
        <w:autoSpaceDE w:val="0"/>
        <w:autoSpaceDN w:val="0"/>
        <w:adjustRightInd w:val="0"/>
        <w:spacing w:line="360" w:lineRule="exact"/>
        <w:jc w:val="left"/>
        <w:rPr>
          <w:rFonts w:hint="default"/>
          <w:b w:val="1"/>
          <w:color w:val="000000" w:themeColor="text1"/>
          <w:spacing w:val="-4"/>
        </w:rPr>
      </w:pPr>
      <w:r>
        <w:rPr>
          <w:rFonts w:hint="eastAsia"/>
          <w:kern w:val="0"/>
        </w:rPr>
        <w:t>障害のある人</w:t>
      </w:r>
      <w:r>
        <w:rPr>
          <w:rFonts w:hint="eastAsia"/>
          <w:color w:val="000000" w:themeColor="text1"/>
          <w:kern w:val="0"/>
        </w:rPr>
        <w:t>や難病患者の日常生活の質の向上が図られるよう、市町が実施する日常生活用具</w:t>
      </w:r>
      <w:r>
        <w:rPr>
          <w:rFonts w:hint="eastAsia"/>
          <w:color w:val="000000" w:themeColor="text1"/>
          <w:spacing w:val="-4"/>
          <w:kern w:val="0"/>
          <w:vertAlign w:val="superscript"/>
        </w:rPr>
        <w:t>＊</w:t>
      </w:r>
      <w:r>
        <w:rPr>
          <w:rFonts w:hint="eastAsia"/>
          <w:color w:val="000000" w:themeColor="text1"/>
          <w:kern w:val="0"/>
        </w:rPr>
        <w:t>の給付等事業の円滑な実施を支援します。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r>
        <w:rPr>
          <w:rFonts w:hint="eastAsia"/>
          <w:color w:val="000000" w:themeColor="text1"/>
        </w:rPr>
        <w:t xml:space="preserve"> </w:t>
      </w:r>
    </w:p>
    <w:p>
      <w:pPr>
        <w:pStyle w:val="0"/>
        <w:autoSpaceDE w:val="0"/>
        <w:autoSpaceDN w:val="0"/>
        <w:adjustRightInd w:val="0"/>
        <w:spacing w:line="360" w:lineRule="exact"/>
        <w:ind w:left="576"/>
        <w:jc w:val="left"/>
        <w:rPr>
          <w:rFonts w:hint="default"/>
          <w:b w:val="1"/>
          <w:color w:val="000000" w:themeColor="text1"/>
          <w:spacing w:val="-4"/>
        </w:rPr>
      </w:pPr>
    </w:p>
    <w:p>
      <w:pPr>
        <w:pStyle w:val="0"/>
        <w:numPr>
          <w:ilvl w:val="0"/>
          <w:numId w:val="51"/>
        </w:numPr>
        <w:autoSpaceDE w:val="0"/>
        <w:autoSpaceDN w:val="0"/>
        <w:adjustRightInd w:val="0"/>
        <w:spacing w:line="360" w:lineRule="exact"/>
        <w:jc w:val="left"/>
        <w:rPr>
          <w:rFonts w:hint="default"/>
        </w:rPr>
      </w:pPr>
      <w:r>
        <w:rPr>
          <w:rFonts w:hint="eastAsia"/>
          <w:color w:val="000000" w:themeColor="text1"/>
          <w:kern w:val="0"/>
        </w:rPr>
        <w:t>視覚、聴覚、肢体に重度の障害のある人の自立や社会参加を支援するため、日常生活動作を補助する身体障害者補助犬</w:t>
      </w:r>
      <w:r>
        <w:rPr>
          <w:rFonts w:hint="eastAsia"/>
          <w:spacing w:val="-4"/>
          <w:kern w:val="0"/>
          <w:vertAlign w:val="superscript"/>
        </w:rPr>
        <w:t>＊</w:t>
      </w:r>
      <w:r>
        <w:rPr>
          <w:rFonts w:hint="eastAsia"/>
          <w:color w:val="000000" w:themeColor="text1"/>
          <w:kern w:val="0"/>
        </w:rPr>
        <w:t>（盲導犬</w:t>
      </w:r>
      <w:r>
        <w:rPr>
          <w:rFonts w:hint="eastAsia"/>
          <w:color w:val="000000" w:themeColor="text1"/>
          <w:spacing w:val="-4"/>
          <w:kern w:val="0"/>
          <w:vertAlign w:val="superscript"/>
        </w:rPr>
        <w:t>＊</w:t>
      </w:r>
      <w:r>
        <w:rPr>
          <w:rFonts w:hint="eastAsia"/>
          <w:color w:val="000000" w:themeColor="text1"/>
          <w:kern w:val="0"/>
        </w:rPr>
        <w:t>、聴導犬</w:t>
      </w:r>
      <w:r>
        <w:rPr>
          <w:rFonts w:hint="eastAsia"/>
          <w:color w:val="000000" w:themeColor="text1"/>
          <w:spacing w:val="-4"/>
          <w:kern w:val="0"/>
          <w:vertAlign w:val="superscript"/>
        </w:rPr>
        <w:t>＊</w:t>
      </w:r>
      <w:r>
        <w:rPr>
          <w:rFonts w:hint="eastAsia"/>
          <w:color w:val="000000" w:themeColor="text1"/>
          <w:kern w:val="0"/>
        </w:rPr>
        <w:t>、介助犬</w:t>
      </w:r>
      <w:r>
        <w:rPr>
          <w:rFonts w:hint="eastAsia"/>
          <w:color w:val="000000" w:themeColor="text1"/>
          <w:kern w:val="0"/>
          <w:vertAlign w:val="superscript"/>
        </w:rPr>
        <w:t>＊</w:t>
      </w:r>
      <w:r>
        <w:rPr>
          <w:rFonts w:hint="eastAsia"/>
          <w:color w:val="000000" w:themeColor="text1"/>
          <w:kern w:val="0"/>
        </w:rPr>
        <w:t>）の育成・給付を推進します。また、店舗等での受</w:t>
      </w:r>
      <w:r>
        <w:rPr>
          <w:rFonts w:hint="eastAsia"/>
          <w:kern w:val="0"/>
        </w:rPr>
        <w:t>入れ拒否等が発生しないよう身体障害者補助犬法の趣旨・目的等の啓発を行うほか、相談窓口を設置します。</w:t>
      </w:r>
      <w:r>
        <w:rPr>
          <w:rFonts w:hint="eastAsia"/>
          <w:spacing w:val="-4"/>
          <w:kern w:val="0"/>
          <w:sz w:val="16"/>
        </w:rPr>
        <w:t>[</w:t>
      </w:r>
      <w:bookmarkStart w:id="103" w:name="_Toc503474062"/>
      <w:r>
        <w:rPr>
          <w:rFonts w:hint="eastAsia"/>
          <w:spacing w:val="-4"/>
          <w:kern w:val="0"/>
          <w:sz w:val="16"/>
        </w:rPr>
        <w:t>健康福祉部</w:t>
      </w:r>
      <w:bookmarkEnd w:id="103"/>
      <w:r>
        <w:rPr>
          <w:rFonts w:hint="eastAsia"/>
          <w:spacing w:val="-4"/>
          <w:kern w:val="0"/>
          <w:sz w:val="16"/>
        </w:rPr>
        <w:t>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51"/>
        </w:numPr>
        <w:autoSpaceDE w:val="0"/>
        <w:autoSpaceDN w:val="0"/>
        <w:adjustRightInd w:val="0"/>
        <w:spacing w:line="360" w:lineRule="exact"/>
        <w:jc w:val="left"/>
        <w:rPr>
          <w:rFonts w:hint="default"/>
        </w:rPr>
      </w:pPr>
      <w:r>
        <w:rPr>
          <w:rFonts w:hint="eastAsia"/>
          <w:kern w:val="0"/>
        </w:rPr>
        <w:t>県</w:t>
      </w:r>
      <w:bookmarkStart w:id="104" w:name="OLE_LINK7"/>
      <w:r>
        <w:rPr>
          <w:rFonts w:hint="eastAsia"/>
          <w:kern w:val="0"/>
        </w:rPr>
        <w:t>工業技術研</w:t>
      </w:r>
      <w:bookmarkEnd w:id="104"/>
      <w:r>
        <w:rPr>
          <w:rFonts w:hint="eastAsia"/>
          <w:kern w:val="0"/>
        </w:rPr>
        <w:t>究所で行う新成長戦略研究や企業・大学等と連携した福祉機器分野の研究、技術指導などを通じて、ニーズに対応した福祉機器の開発を支援します。</w:t>
      </w:r>
      <w:r>
        <w:rPr>
          <w:rFonts w:hint="eastAsia"/>
          <w:spacing w:val="-4"/>
          <w:sz w:val="16"/>
        </w:rPr>
        <w:t>[</w:t>
      </w:r>
      <w:r>
        <w:rPr>
          <w:rFonts w:hint="eastAsia"/>
          <w:spacing w:val="-4"/>
          <w:sz w:val="16"/>
        </w:rPr>
        <w:t>経済産業部商工業局</w:t>
      </w:r>
      <w:r>
        <w:rPr>
          <w:rFonts w:hint="eastAsia"/>
          <w:spacing w:val="-4"/>
          <w:sz w:val="16"/>
        </w:rPr>
        <w:t>]</w:t>
      </w:r>
    </w:p>
    <w:p>
      <w:pPr>
        <w:pStyle w:val="0"/>
        <w:autoSpaceDE w:val="0"/>
        <w:autoSpaceDN w:val="0"/>
        <w:adjustRightInd w:val="0"/>
        <w:spacing w:line="360" w:lineRule="exact"/>
        <w:ind w:left="576"/>
        <w:jc w:val="left"/>
        <w:rPr>
          <w:rFonts w:hint="default"/>
        </w:rPr>
      </w:pPr>
    </w:p>
    <w:p>
      <w:pPr>
        <w:pStyle w:val="0"/>
        <w:rPr>
          <w:rFonts w:hint="default"/>
        </w:rPr>
      </w:pPr>
      <w:r>
        <w:rPr>
          <w:rFonts w:hint="eastAsia" w:ascii="ＭＳ ゴシック" w:hAnsi="ＭＳ ゴシック" w:eastAsia="ＭＳ ゴシック"/>
        </w:rPr>
        <w:t>【数値目標】</w:t>
      </w:r>
    </w:p>
    <w:tbl>
      <w:tblPr>
        <w:tblStyle w:val="11"/>
        <w:tblW w:w="9761"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9"/>
        <w:gridCol w:w="4920"/>
        <w:gridCol w:w="2211"/>
        <w:gridCol w:w="2211"/>
      </w:tblGrid>
      <w:tr>
        <w:trPr>
          <w:trHeight w:val="58"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58"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rPr>
            </w:pPr>
            <w:r>
              <w:rPr>
                <w:rFonts w:hint="eastAsia"/>
                <w:color w:val="000000" w:themeColor="text1"/>
              </w:rPr>
              <w:t>身体障害者補助犬</w:t>
            </w:r>
            <w:r>
              <w:rPr>
                <w:rFonts w:hint="eastAsia"/>
                <w:spacing w:val="-4"/>
                <w:kern w:val="0"/>
                <w:vertAlign w:val="superscript"/>
              </w:rPr>
              <w:t>＊</w:t>
            </w:r>
            <w:r>
              <w:rPr>
                <w:rFonts w:hint="eastAsia"/>
                <w:color w:val="000000" w:themeColor="text1"/>
              </w:rPr>
              <w:t>利用希望者に対する給付率</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100</w:t>
            </w:r>
            <w:r>
              <w:rPr>
                <w:rFonts w:hint="eastAsia"/>
                <w:color w:val="000000" w:themeColor="text1"/>
              </w:rPr>
              <w:t>％</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100</w:t>
            </w:r>
            <w:r>
              <w:rPr>
                <w:rFonts w:hint="eastAsia"/>
                <w:color w:val="000000" w:themeColor="text1"/>
              </w:rPr>
              <w:t>％</w:t>
            </w:r>
          </w:p>
        </w:tc>
      </w:tr>
    </w:tbl>
    <w:p>
      <w:pPr>
        <w:pStyle w:val="0"/>
        <w:rPr>
          <w:rFonts w:hint="default" w:ascii="ＭＳ ゴシック" w:hAnsi="ＭＳ ゴシック" w:eastAsia="ＭＳ ゴシック"/>
          <w:b w:val="1"/>
        </w:rPr>
      </w:pPr>
    </w:p>
    <w:p>
      <w:pPr>
        <w:pStyle w:val="0"/>
        <w:rPr>
          <w:rFonts w:hint="default" w:ascii="ＭＳ ゴシック" w:hAnsi="ＭＳ ゴシック" w:eastAsia="ＭＳ ゴシック"/>
          <w:b w:val="1"/>
        </w:rPr>
      </w:pPr>
    </w:p>
    <w:p>
      <w:pPr>
        <w:pStyle w:val="0"/>
        <w:rPr>
          <w:rFonts w:hint="default" w:ascii="ＭＳ ゴシック" w:hAnsi="ＭＳ ゴシック" w:eastAsia="ＭＳ ゴシック"/>
          <w:b w:val="1"/>
        </w:rPr>
      </w:pPr>
    </w:p>
    <w:p>
      <w:pPr>
        <w:pStyle w:val="0"/>
        <w:rPr>
          <w:rFonts w:hint="default" w:ascii="ＭＳ ゴシック" w:hAnsi="ＭＳ ゴシック" w:eastAsia="ＭＳ ゴシック"/>
          <w:b w:val="1"/>
        </w:rPr>
      </w:pPr>
    </w:p>
    <w:p>
      <w:pPr>
        <w:pStyle w:val="0"/>
        <w:outlineLvl w:val="2"/>
        <w:rPr>
          <w:rFonts w:hint="default" w:ascii="ＭＳ ゴシック" w:hAnsi="ＭＳ ゴシック" w:eastAsia="ＭＳ ゴシック"/>
        </w:rPr>
      </w:pPr>
      <w:bookmarkStart w:id="105" w:name="_Toc503474063"/>
      <w:r>
        <w:rPr>
          <w:rFonts w:hint="eastAsia" w:ascii="ＭＳ ゴシック" w:hAnsi="ＭＳ ゴシック" w:eastAsia="ＭＳ ゴシック"/>
          <w:color w:val="000000" w:themeColor="text1"/>
        </w:rPr>
        <w:t>（７）</w:t>
      </w:r>
      <w:r>
        <w:rPr>
          <w:rFonts w:hint="eastAsia" w:ascii="ＭＳ ゴシック" w:hAnsi="ＭＳ ゴシック" w:eastAsia="ＭＳ ゴシック"/>
        </w:rPr>
        <w:t>経済的支援制度の充実と普及・啓発</w:t>
      </w:r>
      <w:bookmarkEnd w:id="105"/>
    </w:p>
    <w:p>
      <w:pPr>
        <w:pStyle w:val="0"/>
        <w:rPr>
          <w:rFonts w:hint="default"/>
        </w:rPr>
      </w:pPr>
      <w:r>
        <w:rPr>
          <w:rFonts w:hint="eastAsia" w:ascii="ＭＳ ゴシック" w:hAnsi="ＭＳ ゴシック" w:eastAsia="ＭＳ ゴシック"/>
        </w:rPr>
        <w:t>【現状と課題】</w:t>
      </w:r>
    </w:p>
    <w:p>
      <w:pPr>
        <w:pStyle w:val="0"/>
        <w:numPr>
          <w:ilvl w:val="0"/>
          <w:numId w:val="52"/>
        </w:numPr>
        <w:autoSpaceDE w:val="0"/>
        <w:autoSpaceDN w:val="0"/>
        <w:adjustRightInd w:val="0"/>
        <w:spacing w:line="360" w:lineRule="exact"/>
        <w:jc w:val="left"/>
        <w:rPr>
          <w:rFonts w:hint="default"/>
          <w:color w:val="000000" w:themeColor="text1"/>
        </w:rPr>
      </w:pPr>
      <w:r>
        <w:rPr>
          <w:rFonts w:hint="eastAsia"/>
          <w:color w:val="000000" w:themeColor="text1"/>
          <w:kern w:val="0"/>
        </w:rPr>
        <w:t>「障害のある方の実態調査」（</w:t>
      </w:r>
      <w:r>
        <w:rPr>
          <w:rFonts w:hint="eastAsia"/>
          <w:color w:val="000000" w:themeColor="text1"/>
          <w:kern w:val="0"/>
        </w:rPr>
        <w:t>2020</w:t>
      </w:r>
      <w:r>
        <w:rPr>
          <w:rFonts w:hint="eastAsia"/>
          <w:color w:val="000000" w:themeColor="text1"/>
          <w:kern w:val="0"/>
        </w:rPr>
        <w:t>年度）によると、障害のある人の</w:t>
      </w:r>
      <w:r>
        <w:rPr>
          <w:rFonts w:hint="eastAsia"/>
          <w:color w:val="000000" w:themeColor="text1"/>
          <w:kern w:val="0"/>
        </w:rPr>
        <w:t>40.0</w:t>
      </w:r>
      <w:r>
        <w:rPr>
          <w:rFonts w:hint="eastAsia"/>
          <w:color w:val="000000" w:themeColor="text1"/>
          <w:kern w:val="0"/>
        </w:rPr>
        <w:t>％が障害を理由とする年金を、</w:t>
      </w:r>
      <w:r>
        <w:rPr>
          <w:rFonts w:hint="eastAsia"/>
          <w:color w:val="000000" w:themeColor="text1"/>
          <w:kern w:val="0"/>
        </w:rPr>
        <w:t>9.2</w:t>
      </w:r>
      <w:r>
        <w:rPr>
          <w:rFonts w:hint="eastAsia"/>
          <w:color w:val="000000" w:themeColor="text1"/>
          <w:kern w:val="0"/>
        </w:rPr>
        <w:t>％が障害を理由とする手当を受給しています。また、月平均の収入は５万円から</w:t>
      </w:r>
      <w:r>
        <w:rPr>
          <w:rFonts w:hint="default"/>
          <w:color w:val="000000" w:themeColor="text1"/>
          <w:kern w:val="0"/>
        </w:rPr>
        <w:t>10</w:t>
      </w:r>
      <w:r>
        <w:rPr>
          <w:rFonts w:hint="eastAsia"/>
          <w:color w:val="000000" w:themeColor="text1"/>
          <w:kern w:val="0"/>
        </w:rPr>
        <w:t>万円未満が最も多く、</w:t>
      </w:r>
      <w:r>
        <w:rPr>
          <w:rFonts w:hint="eastAsia"/>
          <w:color w:val="000000" w:themeColor="text1"/>
          <w:kern w:val="0"/>
        </w:rPr>
        <w:t>29.3</w:t>
      </w:r>
      <w:r>
        <w:rPr>
          <w:rFonts w:hint="eastAsia"/>
          <w:color w:val="000000" w:themeColor="text1"/>
          <w:kern w:val="0"/>
        </w:rPr>
        <w:t>％を占めています。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36"/>
        </w:numPr>
        <w:autoSpaceDE w:val="0"/>
        <w:autoSpaceDN w:val="0"/>
        <w:adjustRightInd w:val="0"/>
        <w:spacing w:line="360" w:lineRule="exact"/>
        <w:jc w:val="left"/>
        <w:rPr>
          <w:rFonts w:hint="default"/>
        </w:rPr>
      </w:pPr>
      <w:r>
        <w:rPr>
          <w:rFonts w:hint="eastAsia"/>
          <w:color w:val="000000" w:themeColor="text1"/>
          <w:kern w:val="0"/>
        </w:rPr>
        <w:t>主な収入源について障害種別でみると、身体障害のある人は「障害を理由とする年金以外の年金を受給している（</w:t>
      </w:r>
      <w:r>
        <w:rPr>
          <w:rFonts w:hint="eastAsia"/>
          <w:color w:val="000000" w:themeColor="text1"/>
          <w:kern w:val="0"/>
        </w:rPr>
        <w:t>38.3</w:t>
      </w:r>
      <w:r>
        <w:rPr>
          <w:rFonts w:hint="eastAsia"/>
          <w:color w:val="000000" w:themeColor="text1"/>
          <w:kern w:val="0"/>
        </w:rPr>
        <w:t>％）」、知的障害のある人は「働いて収入を得ている（</w:t>
      </w:r>
      <w:r>
        <w:rPr>
          <w:rFonts w:hint="eastAsia"/>
          <w:color w:val="000000" w:themeColor="text1"/>
          <w:kern w:val="0"/>
        </w:rPr>
        <w:t>30.6</w:t>
      </w:r>
      <w:r>
        <w:rPr>
          <w:rFonts w:hint="eastAsia"/>
          <w:color w:val="000000" w:themeColor="text1"/>
          <w:kern w:val="0"/>
        </w:rPr>
        <w:t>％）」、精神障害のある人は「家族からの援助・仕送りを受けている（</w:t>
      </w:r>
      <w:r>
        <w:rPr>
          <w:rFonts w:hint="eastAsia"/>
          <w:color w:val="000000" w:themeColor="text1"/>
          <w:kern w:val="0"/>
        </w:rPr>
        <w:t>16.6</w:t>
      </w:r>
      <w:r>
        <w:rPr>
          <w:rFonts w:hint="eastAsia"/>
          <w:color w:val="000000" w:themeColor="text1"/>
          <w:kern w:val="0"/>
        </w:rPr>
        <w:t>％）」の割合がそれぞれ高い傾向にあります。また、行政に力を入れてほしいこととして、障害のある人の</w:t>
      </w:r>
      <w:r>
        <w:rPr>
          <w:rFonts w:hint="eastAsia"/>
          <w:color w:val="000000" w:themeColor="text1"/>
          <w:kern w:val="0"/>
        </w:rPr>
        <w:t>35.7</w:t>
      </w:r>
      <w:r>
        <w:rPr>
          <w:rFonts w:hint="eastAsia"/>
          <w:color w:val="000000" w:themeColor="text1"/>
          <w:kern w:val="0"/>
        </w:rPr>
        <w:t>％が「年金・手当などの所得保障の充実」を、</w:t>
      </w:r>
      <w:r>
        <w:rPr>
          <w:rFonts w:hint="eastAsia"/>
          <w:color w:val="000000" w:themeColor="text1"/>
          <w:kern w:val="0"/>
        </w:rPr>
        <w:t>31.9</w:t>
      </w:r>
      <w:r>
        <w:rPr>
          <w:rFonts w:hint="eastAsia"/>
          <w:color w:val="000000" w:themeColor="text1"/>
          <w:kern w:val="0"/>
        </w:rPr>
        <w:t>％が「医療費の負担軽減」を挙げています。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rPr>
      </w:pPr>
      <w:r>
        <w:rPr>
          <w:rFonts w:hint="eastAsia"/>
          <w:kern w:val="0"/>
        </w:rPr>
        <w:t>障害のある人や家庭の生活の安定を図るため、障害のある人やその家族に対して、医療や福祉の制度、年金や手当の制度、税の減免や各種料金の割引等、各種経済的支援制度の充実と制度の周知が必要です。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rPr>
      </w:pPr>
      <w:r>
        <w:rPr>
          <w:rFonts w:hint="eastAsia"/>
          <w:kern w:val="0"/>
        </w:rPr>
        <w:t>医療費助成の充実や生活資金の貸付等の充実による経済的負担の軽減が必要です。</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【県の取組】</w:t>
      </w: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ア　医療の給付・医療費の助成</w:t>
      </w:r>
    </w:p>
    <w:p>
      <w:pPr>
        <w:pStyle w:val="0"/>
        <w:numPr>
          <w:ilvl w:val="0"/>
          <w:numId w:val="53"/>
        </w:numPr>
        <w:autoSpaceDE w:val="0"/>
        <w:autoSpaceDN w:val="0"/>
        <w:adjustRightInd w:val="0"/>
        <w:spacing w:line="360" w:lineRule="exact"/>
        <w:jc w:val="left"/>
        <w:rPr>
          <w:rFonts w:hint="default"/>
          <w:spacing w:val="-4"/>
          <w:kern w:val="0"/>
          <w:sz w:val="16"/>
        </w:rPr>
      </w:pPr>
      <w:r>
        <w:rPr>
          <w:rFonts w:hint="eastAsia"/>
          <w:kern w:val="0"/>
        </w:rPr>
        <w:t>心身の障害状態の軽減又は障害を除去するために必要な障害者総合支援法に基づく自立支援医療</w:t>
      </w:r>
      <w:r>
        <w:rPr>
          <w:rFonts w:hint="eastAsia"/>
          <w:spacing w:val="-4"/>
          <w:kern w:val="0"/>
          <w:vertAlign w:val="superscript"/>
        </w:rPr>
        <w:t>＊</w:t>
      </w:r>
      <w:r>
        <w:rPr>
          <w:rFonts w:hint="eastAsia"/>
          <w:kern w:val="0"/>
        </w:rPr>
        <w:t>を給付します。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53"/>
        </w:numPr>
        <w:autoSpaceDE w:val="0"/>
        <w:autoSpaceDN w:val="0"/>
        <w:adjustRightInd w:val="0"/>
        <w:spacing w:line="360" w:lineRule="exact"/>
        <w:jc w:val="left"/>
        <w:rPr>
          <w:rFonts w:hint="default"/>
          <w:kern w:val="0"/>
        </w:rPr>
      </w:pPr>
      <w:r>
        <w:rPr>
          <w:rFonts w:hint="eastAsia"/>
          <w:kern w:val="0"/>
        </w:rPr>
        <w:t>重度の障害のある人が適切な医療サービスを受けることができるように医療費の自己負担分を助成する重度障害者（児）医療費助成を実施します。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kern w:val="0"/>
        </w:rPr>
      </w:pP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イ　生活資金の貸付</w:t>
      </w:r>
    </w:p>
    <w:p>
      <w:pPr>
        <w:pStyle w:val="0"/>
        <w:numPr>
          <w:ilvl w:val="0"/>
          <w:numId w:val="54"/>
        </w:numPr>
        <w:autoSpaceDE w:val="0"/>
        <w:autoSpaceDN w:val="0"/>
        <w:adjustRightInd w:val="0"/>
        <w:spacing w:line="360" w:lineRule="exact"/>
        <w:jc w:val="left"/>
        <w:rPr>
          <w:rFonts w:hint="default"/>
          <w:spacing w:val="-4"/>
          <w:kern w:val="0"/>
          <w:sz w:val="16"/>
        </w:rPr>
      </w:pPr>
      <w:r>
        <w:rPr>
          <w:rFonts w:hint="eastAsia"/>
          <w:kern w:val="0"/>
        </w:rPr>
        <w:t>障害のある人が地域で安定した生活を送ることができるように、生活福祉資金の貸付や相談支援を行う県社会福祉協議会に対し事業費を助成します。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ウ　</w:t>
      </w:r>
      <w:r>
        <w:rPr>
          <w:rFonts w:hint="eastAsia" w:ascii="ＭＳ ゴシック" w:hAnsi="ＭＳ ゴシック" w:eastAsia="ＭＳ ゴシック"/>
          <w:kern w:val="0"/>
        </w:rPr>
        <w:t>特別障害者手当等</w:t>
      </w:r>
      <w:r>
        <w:rPr>
          <w:rFonts w:hint="eastAsia" w:ascii="ＭＳ ゴシック" w:hAnsi="ＭＳ ゴシック" w:eastAsia="ＭＳ ゴシック"/>
        </w:rPr>
        <w:t>の支給</w:t>
      </w:r>
    </w:p>
    <w:p>
      <w:pPr>
        <w:pStyle w:val="0"/>
        <w:numPr>
          <w:ilvl w:val="0"/>
          <w:numId w:val="55"/>
        </w:numPr>
        <w:autoSpaceDE w:val="0"/>
        <w:autoSpaceDN w:val="0"/>
        <w:adjustRightInd w:val="0"/>
        <w:spacing w:line="360" w:lineRule="exact"/>
        <w:jc w:val="left"/>
        <w:rPr>
          <w:rFonts w:hint="default"/>
          <w:color w:val="000000" w:themeColor="text1"/>
          <w:spacing w:val="-4"/>
          <w:kern w:val="0"/>
          <w:sz w:val="16"/>
        </w:rPr>
      </w:pPr>
      <w:r>
        <w:rPr>
          <w:rFonts w:hint="default"/>
          <w:kern w:val="0"/>
        </w:rPr>
        <w:t>20</w:t>
      </w:r>
      <w:r>
        <w:rPr>
          <w:rFonts w:hint="eastAsia"/>
          <w:kern w:val="0"/>
        </w:rPr>
        <w:t>歳以上の常時特別な介護を必要とする</w:t>
      </w:r>
      <w:r>
        <w:rPr>
          <w:rFonts w:hint="eastAsia"/>
          <w:color w:val="000000" w:themeColor="text1"/>
          <w:kern w:val="0"/>
        </w:rPr>
        <w:t>著しく重度の障害のある人に特別障害者手当、</w:t>
      </w:r>
      <w:r>
        <w:rPr>
          <w:rFonts w:hint="default"/>
          <w:color w:val="000000" w:themeColor="text1"/>
          <w:kern w:val="0"/>
        </w:rPr>
        <w:t>20</w:t>
      </w:r>
      <w:r>
        <w:rPr>
          <w:rFonts w:hint="eastAsia"/>
          <w:color w:val="000000" w:themeColor="text1"/>
          <w:kern w:val="0"/>
        </w:rPr>
        <w:t>歳未満の常時介護を必要とする重度の障害のある子どもに障害児福祉手当、障害基礎年金と特別障害者手当制度創設による経過措置分としての福祉手当をそれぞれ支給するとともに、これらの手当についての周知を図っていき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spacing w:val="-4"/>
          <w:kern w:val="0"/>
          <w:sz w:val="16"/>
        </w:rPr>
      </w:pPr>
    </w:p>
    <w:p>
      <w:pPr>
        <w:pStyle w:val="0"/>
        <w:numPr>
          <w:ilvl w:val="0"/>
          <w:numId w:val="55"/>
        </w:numPr>
        <w:autoSpaceDE w:val="0"/>
        <w:autoSpaceDN w:val="0"/>
        <w:adjustRightInd w:val="0"/>
        <w:spacing w:line="360" w:lineRule="exact"/>
        <w:jc w:val="left"/>
        <w:rPr>
          <w:rFonts w:hint="default"/>
        </w:rPr>
      </w:pPr>
      <w:r>
        <w:rPr>
          <w:rFonts w:hint="eastAsia"/>
          <w:color w:val="000000" w:themeColor="text1"/>
          <w:kern w:val="0"/>
        </w:rPr>
        <w:t>心身に重度又は中度の障害を持つ</w:t>
      </w:r>
      <w:r>
        <w:rPr>
          <w:rFonts w:hint="default"/>
          <w:color w:val="000000" w:themeColor="text1"/>
          <w:kern w:val="0"/>
        </w:rPr>
        <w:t>20</w:t>
      </w:r>
      <w:r>
        <w:rPr>
          <w:rFonts w:hint="eastAsia"/>
          <w:color w:val="000000" w:themeColor="text1"/>
          <w:kern w:val="0"/>
        </w:rPr>
        <w:t>歳未満の児童の監護者</w:t>
      </w:r>
      <w:r>
        <w:rPr>
          <w:rFonts w:hint="eastAsia"/>
          <w:kern w:val="0"/>
        </w:rPr>
        <w:t>に特別児童扶養手当を支給するとともに、手当についての周知を図っていきます。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エ　</w:t>
      </w:r>
      <w:r>
        <w:rPr>
          <w:rFonts w:hint="eastAsia" w:ascii="ＭＳ ゴシック" w:hAnsi="ＭＳ ゴシック" w:eastAsia="ＭＳ ゴシック"/>
          <w:kern w:val="0"/>
        </w:rPr>
        <w:t>心身障害者扶養共済制度の実施</w:t>
      </w:r>
    </w:p>
    <w:p>
      <w:pPr>
        <w:pStyle w:val="0"/>
        <w:numPr>
          <w:ilvl w:val="0"/>
          <w:numId w:val="56"/>
        </w:numPr>
        <w:autoSpaceDE w:val="0"/>
        <w:autoSpaceDN w:val="0"/>
        <w:adjustRightInd w:val="0"/>
        <w:spacing w:line="360" w:lineRule="exact"/>
        <w:jc w:val="left"/>
        <w:rPr>
          <w:rFonts w:hint="default"/>
          <w:spacing w:val="-4"/>
          <w:kern w:val="0"/>
          <w:sz w:val="16"/>
        </w:rPr>
      </w:pPr>
      <w:r>
        <w:rPr>
          <w:rFonts w:hint="eastAsia"/>
          <w:kern w:val="0"/>
        </w:rPr>
        <w:t>心身障害児（者）の保護者が毎月一定の掛金を拠出し、保護者が死亡または重度障害となった場合に残された心身障害児（者）に年金を支給する心身障害者扶養共済制度を実施することにより、保護者の不安の軽減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オ　地方税の減免</w:t>
      </w:r>
    </w:p>
    <w:p>
      <w:pPr>
        <w:pStyle w:val="0"/>
        <w:numPr>
          <w:ilvl w:val="0"/>
          <w:numId w:val="57"/>
        </w:numPr>
        <w:autoSpaceDE w:val="0"/>
        <w:autoSpaceDN w:val="0"/>
        <w:adjustRightInd w:val="0"/>
        <w:spacing w:line="360" w:lineRule="exact"/>
        <w:jc w:val="left"/>
        <w:rPr>
          <w:rFonts w:hint="default" w:ascii="ＭＳ ゴシック" w:hAnsi="ＭＳ ゴシック" w:eastAsia="ＭＳ ゴシック"/>
        </w:rPr>
      </w:pPr>
      <w:r>
        <w:rPr>
          <w:rFonts w:hint="eastAsia"/>
          <w:kern w:val="0"/>
        </w:rPr>
        <w:t>障害のある人等が所有する自動車や障害のある人等の利用に供する自動車について、一定の条件のもと自動車税種別割及び自動車税環境性能割の減免を行います。</w:t>
      </w:r>
      <w:r>
        <w:rPr>
          <w:rFonts w:hint="eastAsia"/>
          <w:sz w:val="16"/>
        </w:rPr>
        <w:t>[</w:t>
      </w:r>
      <w:r>
        <w:rPr>
          <w:rFonts w:hint="eastAsia"/>
          <w:sz w:val="16"/>
        </w:rPr>
        <w:t>経営管理部財務局</w:t>
      </w:r>
      <w:r>
        <w:rPr>
          <w:rFonts w:hint="eastAsia"/>
          <w:sz w:val="16"/>
        </w:rPr>
        <w:t>]</w:t>
      </w:r>
    </w:p>
    <w:p>
      <w:pPr>
        <w:pStyle w:val="0"/>
        <w:rPr>
          <w:rFonts w:hint="default" w:ascii="ＭＳ ゴシック" w:hAnsi="ＭＳ ゴシック" w:eastAsia="ＭＳ ゴシック"/>
        </w:rPr>
      </w:pPr>
      <w:r>
        <w:rPr>
          <w:rFonts w:hint="eastAsia"/>
        </w:rPr>
        <w:br w:type="page"/>
      </w:r>
      <w:bookmarkStart w:id="106" w:name="_Toc503474064"/>
      <w:r>
        <w:rPr>
          <w:rFonts w:hint="eastAsia" w:ascii="ＭＳ ゴシック" w:hAnsi="ＭＳ ゴシック" w:eastAsia="ＭＳ ゴシック"/>
          <w:sz w:val="26"/>
          <w:u w:val="single" w:color="auto"/>
        </w:rPr>
        <w:t>３　施設や病院から地域生活への移行の促進</w:t>
      </w:r>
      <w:bookmarkEnd w:id="106"/>
    </w:p>
    <w:p>
      <w:pPr>
        <w:pStyle w:val="0"/>
        <w:outlineLvl w:val="2"/>
        <w:rPr>
          <w:rFonts w:hint="default" w:ascii="ＭＳ ゴシック" w:hAnsi="ＭＳ ゴシック" w:eastAsia="ＭＳ ゴシック"/>
          <w:color w:val="000000" w:themeColor="text1"/>
        </w:rPr>
      </w:pPr>
      <w:bookmarkStart w:id="107" w:name="_Toc503474065"/>
      <w:r>
        <w:rPr>
          <w:rFonts w:hint="eastAsia" w:ascii="ＭＳ ゴシック" w:hAnsi="ＭＳ ゴシック" w:eastAsia="ＭＳ ゴシック"/>
        </w:rPr>
        <w:t>（１）</w:t>
      </w:r>
      <w:bookmarkEnd w:id="107"/>
      <w:r>
        <w:rPr>
          <w:rFonts w:hint="eastAsia" w:ascii="ＭＳ ゴシック" w:hAnsi="ＭＳ ゴシック" w:eastAsia="ＭＳ ゴシック"/>
          <w:color w:val="000000" w:themeColor="text1"/>
        </w:rPr>
        <w:t>訪問系・日中活動系サービスの充実</w:t>
      </w:r>
    </w:p>
    <w:p>
      <w:pPr>
        <w:pStyle w:val="0"/>
        <w:rPr>
          <w:rFonts w:hint="default"/>
          <w:color w:val="000000" w:themeColor="text1"/>
        </w:rPr>
      </w:pPr>
      <w:r>
        <w:rPr>
          <w:rFonts w:hint="eastAsia" w:ascii="ＭＳ ゴシック" w:hAnsi="ＭＳ ゴシック" w:eastAsia="ＭＳ ゴシック"/>
          <w:color w:val="000000" w:themeColor="text1"/>
        </w:rPr>
        <w:t>【現状と課題】</w:t>
      </w:r>
    </w:p>
    <w:p>
      <w:pPr>
        <w:pStyle w:val="0"/>
        <w:numPr>
          <w:ilvl w:val="0"/>
          <w:numId w:val="58"/>
        </w:numPr>
        <w:autoSpaceDE w:val="0"/>
        <w:autoSpaceDN w:val="0"/>
        <w:adjustRightInd w:val="0"/>
        <w:spacing w:line="360" w:lineRule="exact"/>
        <w:jc w:val="left"/>
        <w:rPr>
          <w:rFonts w:hint="default"/>
        </w:rPr>
      </w:pPr>
      <w:r>
        <w:rPr>
          <w:rFonts w:hint="eastAsia"/>
          <w:color w:val="000000" w:themeColor="text1"/>
        </w:rPr>
        <w:t>障害のある</w:t>
      </w:r>
      <w:r>
        <w:rPr>
          <w:rFonts w:hint="eastAsia"/>
          <w:color w:val="000000" w:themeColor="text1"/>
          <w:kern w:val="0"/>
        </w:rPr>
        <w:t>人が住み慣れた地域社会で当たり前の暮らしが保障されるべきというノーマライゼーションの理念に基づき、施設や病院から地域生活への移行を促進することが重要であり、地域生活で生じる様々な課題に対応し、住み慣れた地域で安心して暮らすことができるよう、地域の支援体制を充実させていく必要がありま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color w:val="0000FF"/>
        </w:rPr>
      </w:pPr>
      <w:r>
        <w:rPr>
          <w:rFonts w:hint="eastAsia"/>
          <w:kern w:val="0"/>
        </w:rPr>
        <w:t>「障害のある方の実態調査」（</w:t>
      </w:r>
      <w:r>
        <w:rPr>
          <w:rFonts w:hint="eastAsia"/>
          <w:kern w:val="0"/>
        </w:rPr>
        <w:t>2020</w:t>
      </w:r>
      <w:r>
        <w:rPr>
          <w:rFonts w:hint="eastAsia"/>
          <w:kern w:val="0"/>
        </w:rPr>
        <w:t>年度）によると、</w:t>
      </w:r>
      <w:r>
        <w:rPr>
          <w:rFonts w:hint="eastAsia"/>
          <w:color w:val="000000" w:themeColor="text1"/>
          <w:kern w:val="0"/>
        </w:rPr>
        <w:t>全体の</w:t>
      </w:r>
      <w:r>
        <w:rPr>
          <w:rFonts w:hint="eastAsia"/>
          <w:color w:val="000000" w:themeColor="text1"/>
          <w:kern w:val="0"/>
        </w:rPr>
        <w:t>6.4</w:t>
      </w:r>
      <w:r>
        <w:rPr>
          <w:rFonts w:hint="eastAsia"/>
          <w:color w:val="000000" w:themeColor="text1"/>
          <w:kern w:val="0"/>
        </w:rPr>
        <w:t>％が入所型の福祉施設を利用しています。また、これらの方々が入所している施設以外で暮らすために必要だと考えることは、困ったときに相談できる人がいることが</w:t>
      </w:r>
      <w:r>
        <w:rPr>
          <w:rFonts w:hint="eastAsia"/>
          <w:color w:val="000000" w:themeColor="text1"/>
          <w:kern w:val="0"/>
        </w:rPr>
        <w:t>35.4</w:t>
      </w:r>
      <w:r>
        <w:rPr>
          <w:rFonts w:hint="eastAsia"/>
          <w:color w:val="000000" w:themeColor="text1"/>
          <w:kern w:val="0"/>
        </w:rPr>
        <w:t>％、一人暮らしを支える居宅介護（ホームヘルプサービス）</w:t>
      </w:r>
      <w:r>
        <w:rPr>
          <w:rFonts w:hint="eastAsia"/>
          <w:color w:val="000000" w:themeColor="text1"/>
          <w:kern w:val="0"/>
          <w:vertAlign w:val="superscript"/>
        </w:rPr>
        <w:t>＊</w:t>
      </w:r>
      <w:r>
        <w:rPr>
          <w:rFonts w:hint="eastAsia"/>
          <w:color w:val="000000" w:themeColor="text1"/>
          <w:kern w:val="0"/>
        </w:rPr>
        <w:t>等の充実が</w:t>
      </w:r>
      <w:r>
        <w:rPr>
          <w:rFonts w:hint="eastAsia"/>
          <w:color w:val="000000" w:themeColor="text1"/>
          <w:kern w:val="0"/>
        </w:rPr>
        <w:t>30.6</w:t>
      </w:r>
      <w:r>
        <w:rPr>
          <w:rFonts w:hint="eastAsia"/>
          <w:color w:val="000000" w:themeColor="text1"/>
          <w:kern w:val="0"/>
        </w:rPr>
        <w:t>％という</w:t>
      </w:r>
      <w:r>
        <w:rPr>
          <w:rFonts w:hint="eastAsia"/>
          <w:kern w:val="0"/>
        </w:rPr>
        <w:t>結果が出ており、地域で生活を送るには、居宅介護（ホームヘルプサービス）等の在宅サービスや日中活動の場である通所系サービスなどの充実が求められています。</w:t>
      </w:r>
    </w:p>
    <w:p>
      <w:pPr>
        <w:pStyle w:val="0"/>
        <w:autoSpaceDE w:val="0"/>
        <w:autoSpaceDN w:val="0"/>
        <w:adjustRightInd w:val="0"/>
        <w:spacing w:line="360" w:lineRule="exact"/>
        <w:ind w:left="576"/>
        <w:jc w:val="left"/>
        <w:rPr>
          <w:rFonts w:hint="default"/>
          <w:color w:val="0000FF"/>
        </w:rPr>
      </w:pPr>
    </w:p>
    <w:p>
      <w:pPr>
        <w:pStyle w:val="0"/>
        <w:numPr>
          <w:ilvl w:val="0"/>
          <w:numId w:val="36"/>
        </w:numPr>
        <w:autoSpaceDE w:val="0"/>
        <w:autoSpaceDN w:val="0"/>
        <w:adjustRightInd w:val="0"/>
        <w:spacing w:line="360" w:lineRule="exact"/>
        <w:jc w:val="left"/>
        <w:rPr>
          <w:rFonts w:hint="default"/>
        </w:rPr>
      </w:pPr>
      <w:r>
        <w:rPr>
          <w:rFonts w:hint="eastAsia"/>
        </w:rPr>
        <w:t>障害の程度にかかわらず、親亡き後の住まいや必要なサービスが適切に確保されるよう、グループホーム</w:t>
      </w:r>
      <w:r>
        <w:rPr>
          <w:rFonts w:hint="eastAsia"/>
          <w:spacing w:val="-4"/>
          <w:kern w:val="0"/>
          <w:vertAlign w:val="superscript"/>
        </w:rPr>
        <w:t>＊</w:t>
      </w:r>
      <w:r>
        <w:rPr>
          <w:rFonts w:hint="eastAsia"/>
        </w:rPr>
        <w:t>の整備促進や日中活動系サービスの充実が必要です。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color w:val="000000" w:themeColor="text1"/>
        </w:rPr>
      </w:pPr>
      <w:r>
        <w:rPr>
          <w:rFonts w:hint="eastAsia"/>
          <w:color w:val="000000" w:themeColor="text1"/>
        </w:rPr>
        <w:t>障害児入所施設の入所児童の地域生活への移行支援に当たり、強度行動障害</w:t>
      </w:r>
      <w:r>
        <w:rPr>
          <w:rFonts w:hint="eastAsia"/>
          <w:color w:val="000000" w:themeColor="text1"/>
          <w:spacing w:val="-4"/>
          <w:kern w:val="0"/>
          <w:vertAlign w:val="superscript"/>
        </w:rPr>
        <w:t>＊</w:t>
      </w:r>
      <w:r>
        <w:rPr>
          <w:rFonts w:hint="eastAsia"/>
          <w:color w:val="000000" w:themeColor="text1"/>
        </w:rPr>
        <w:t>や医療的ケアを有する場合や、虐待等による情緒障害に対する手厚い支援が必要な場合、また保護者が養育上の困難を抱えている場合などがあり、円滑な移行のために様々な支援が必要です。</w:t>
      </w:r>
    </w:p>
    <w:p>
      <w:pPr>
        <w:pStyle w:val="0"/>
        <w:autoSpaceDE w:val="0"/>
        <w:autoSpaceDN w:val="0"/>
        <w:adjustRightInd w:val="0"/>
        <w:jc w:val="left"/>
        <w:rPr>
          <w:rFonts w:hint="default"/>
          <w:spacing w:val="-4"/>
          <w:kern w:val="0"/>
        </w:rPr>
      </w:pPr>
    </w:p>
    <w:p>
      <w:pPr>
        <w:pStyle w:val="0"/>
        <w:autoSpaceDE w:val="0"/>
        <w:autoSpaceDN w:val="0"/>
        <w:adjustRightInd w:val="0"/>
        <w:jc w:val="left"/>
        <w:rPr>
          <w:rFonts w:hint="default"/>
          <w:spacing w:val="-4"/>
          <w:kern w:val="0"/>
        </w:rPr>
      </w:pPr>
      <w:r>
        <w:rPr>
          <w:rFonts w:hint="eastAsia" w:ascii="ＭＳ ゴシック" w:hAnsi="ＭＳ ゴシック" w:eastAsia="ＭＳ ゴシック"/>
        </w:rPr>
        <w:t>【県の取組】</w:t>
      </w:r>
    </w:p>
    <w:p>
      <w:pPr>
        <w:pStyle w:val="0"/>
        <w:numPr>
          <w:ilvl w:val="0"/>
          <w:numId w:val="59"/>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spacing w:val="-4"/>
          <w:kern w:val="0"/>
        </w:rPr>
        <w:t>障害のある人の重度化・高齢化に伴う相談支援や、「親亡き後」に備えて家族の不安を解消するため、家族が健在な内にグループホーム</w:t>
      </w:r>
      <w:r>
        <w:rPr>
          <w:rFonts w:hint="eastAsia"/>
          <w:color w:val="000000" w:themeColor="text1"/>
          <w:spacing w:val="-4"/>
          <w:kern w:val="0"/>
          <w:vertAlign w:val="superscript"/>
        </w:rPr>
        <w:t>＊</w:t>
      </w:r>
      <w:r>
        <w:rPr>
          <w:rFonts w:hint="eastAsia"/>
          <w:color w:val="000000" w:themeColor="text1"/>
          <w:spacing w:val="-4"/>
          <w:kern w:val="0"/>
        </w:rPr>
        <w:t>や一人暮らしを体験する機会を提供したり、家族の緊急事態に短期入所</w:t>
      </w:r>
      <w:r>
        <w:rPr>
          <w:rFonts w:hint="eastAsia"/>
          <w:spacing w:val="-4"/>
          <w:kern w:val="0"/>
          <w:vertAlign w:val="superscript"/>
        </w:rPr>
        <w:t>＊</w:t>
      </w:r>
      <w:r>
        <w:rPr>
          <w:rFonts w:hint="eastAsia"/>
          <w:color w:val="000000" w:themeColor="text1"/>
          <w:spacing w:val="-4"/>
          <w:kern w:val="0"/>
        </w:rPr>
        <w:t>が利用できる、地域生活支援拠点</w:t>
      </w:r>
      <w:r>
        <w:rPr>
          <w:rFonts w:hint="eastAsia"/>
          <w:spacing w:val="-4"/>
          <w:kern w:val="0"/>
          <w:vertAlign w:val="superscript"/>
        </w:rPr>
        <w:t>＊</w:t>
      </w:r>
      <w:r>
        <w:rPr>
          <w:rFonts w:hint="eastAsia"/>
          <w:color w:val="000000" w:themeColor="text1"/>
          <w:spacing w:val="-4"/>
          <w:kern w:val="0"/>
        </w:rPr>
        <w:t>の整備を促進します。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color w:val="000000" w:themeColor="text1"/>
          <w:spacing w:val="-4"/>
          <w:kern w:val="0"/>
          <w:sz w:val="16"/>
        </w:rPr>
      </w:pPr>
    </w:p>
    <w:p>
      <w:pPr>
        <w:pStyle w:val="0"/>
        <w:numPr>
          <w:ilvl w:val="0"/>
          <w:numId w:val="59"/>
        </w:numPr>
        <w:autoSpaceDE w:val="0"/>
        <w:autoSpaceDN w:val="0"/>
        <w:adjustRightInd w:val="0"/>
        <w:spacing w:line="360" w:lineRule="exact"/>
        <w:jc w:val="left"/>
        <w:rPr>
          <w:rFonts w:hint="default"/>
          <w:spacing w:val="-4"/>
          <w:kern w:val="0"/>
          <w:sz w:val="16"/>
        </w:rPr>
      </w:pPr>
      <w:r>
        <w:rPr>
          <w:rFonts w:hint="eastAsia"/>
          <w:kern w:val="0"/>
        </w:rPr>
        <w:t>障害のある人の地域での主体的な生活を支援するため、ヘルパーの養成や事業者の増加など居宅介護（ホームヘルプサービス）等の訪問系サービスの充実を図ります。また、障害特性に配慮し、利用者のニーズに見合った研修を実施する等、サービス内容の質の向上に努め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sz w:val="16"/>
        </w:rPr>
      </w:pPr>
    </w:p>
    <w:p>
      <w:pPr>
        <w:pStyle w:val="0"/>
        <w:numPr>
          <w:ilvl w:val="0"/>
          <w:numId w:val="59"/>
        </w:numPr>
        <w:autoSpaceDE w:val="0"/>
        <w:autoSpaceDN w:val="0"/>
        <w:adjustRightInd w:val="0"/>
        <w:spacing w:line="360" w:lineRule="exact"/>
        <w:jc w:val="left"/>
        <w:rPr>
          <w:rFonts w:hint="default"/>
          <w:spacing w:val="-4"/>
          <w:kern w:val="0"/>
        </w:rPr>
      </w:pPr>
      <w:r>
        <w:rPr>
          <w:rFonts w:hint="eastAsia"/>
          <w:kern w:val="0"/>
        </w:rPr>
        <w:t>日中の活動の場として、生活介護（デイサービス）</w:t>
      </w:r>
      <w:r>
        <w:rPr>
          <w:rFonts w:hint="eastAsia"/>
          <w:spacing w:val="-4"/>
          <w:kern w:val="0"/>
          <w:vertAlign w:val="superscript"/>
        </w:rPr>
        <w:t>＊</w:t>
      </w:r>
      <w:r>
        <w:rPr>
          <w:rFonts w:hint="eastAsia"/>
          <w:kern w:val="0"/>
        </w:rPr>
        <w:t>や自立訓練</w:t>
      </w:r>
      <w:r>
        <w:rPr>
          <w:rFonts w:hint="eastAsia"/>
          <w:spacing w:val="-4"/>
          <w:kern w:val="0"/>
          <w:vertAlign w:val="superscript"/>
        </w:rPr>
        <w:t>＊</w:t>
      </w:r>
      <w:r>
        <w:rPr>
          <w:rFonts w:hint="eastAsia"/>
          <w:kern w:val="0"/>
        </w:rPr>
        <w:t>、就労移行支援</w:t>
      </w:r>
      <w:r>
        <w:rPr>
          <w:rFonts w:hint="eastAsia"/>
          <w:spacing w:val="-4"/>
          <w:kern w:val="0"/>
          <w:vertAlign w:val="superscript"/>
        </w:rPr>
        <w:t>＊</w:t>
      </w:r>
      <w:r>
        <w:rPr>
          <w:rFonts w:hint="eastAsia"/>
          <w:kern w:val="0"/>
        </w:rPr>
        <w:t>、就労継続支援等のサービスの提供体制の整備を促進します。</w:t>
      </w:r>
      <w:r>
        <w:rPr>
          <w:rFonts w:hint="eastAsia"/>
          <w:spacing w:val="-4"/>
          <w:kern w:val="0"/>
          <w:sz w:val="16"/>
        </w:rPr>
        <w:t>[</w:t>
      </w:r>
      <w:r>
        <w:rPr>
          <w:rFonts w:hint="eastAsia"/>
          <w:spacing w:val="-4"/>
          <w:kern w:val="0"/>
          <w:sz w:val="16"/>
        </w:rPr>
        <w:t>健康福祉部障害者支援局</w:t>
      </w:r>
      <w:r>
        <w:rPr>
          <w:rFonts w:hint="eastAsia"/>
          <w:kern w:val="0"/>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59"/>
        </w:numPr>
        <w:autoSpaceDE w:val="0"/>
        <w:autoSpaceDN w:val="0"/>
        <w:adjustRightInd w:val="0"/>
        <w:spacing w:line="360" w:lineRule="exact"/>
        <w:jc w:val="left"/>
        <w:rPr>
          <w:rFonts w:hint="default"/>
          <w:spacing w:val="-4"/>
          <w:kern w:val="0"/>
        </w:rPr>
      </w:pPr>
      <w:r>
        <w:rPr>
          <w:rFonts w:hint="eastAsia"/>
          <w:kern w:val="0"/>
        </w:rPr>
        <w:t>保護者のレスパイト</w:t>
      </w:r>
      <w:r>
        <w:rPr>
          <w:rFonts w:hint="eastAsia"/>
          <w:spacing w:val="-4"/>
          <w:kern w:val="0"/>
          <w:vertAlign w:val="superscript"/>
        </w:rPr>
        <w:t>＊</w:t>
      </w:r>
      <w:r>
        <w:rPr>
          <w:rFonts w:hint="eastAsia"/>
          <w:kern w:val="0"/>
        </w:rPr>
        <w:t>や家庭での介護が一時的に困難になった場合などに利用する短期入所（ショートステイ）</w:t>
      </w:r>
      <w:r>
        <w:rPr>
          <w:rFonts w:hint="eastAsia"/>
          <w:spacing w:val="-4"/>
          <w:kern w:val="0"/>
          <w:vertAlign w:val="superscript"/>
        </w:rPr>
        <w:t>＊</w:t>
      </w:r>
      <w:r>
        <w:rPr>
          <w:rFonts w:hint="eastAsia"/>
          <w:kern w:val="0"/>
        </w:rPr>
        <w:t>について、地域の医療機関等での受入拡大と充実を図るとともに、地域の日中一時支援</w:t>
      </w:r>
      <w:r>
        <w:rPr>
          <w:rFonts w:hint="eastAsia"/>
          <w:spacing w:val="-4"/>
          <w:kern w:val="0"/>
          <w:vertAlign w:val="superscript"/>
        </w:rPr>
        <w:t>＊</w:t>
      </w:r>
      <w:r>
        <w:rPr>
          <w:rFonts w:hint="eastAsia"/>
          <w:kern w:val="0"/>
        </w:rPr>
        <w:t>事業所での日中受入の充実等に努めます。</w:t>
      </w:r>
      <w:r>
        <w:rPr>
          <w:rFonts w:hint="eastAsia"/>
          <w:kern w:val="0"/>
          <w:sz w:val="16"/>
        </w:rPr>
        <w:t>[</w:t>
      </w:r>
      <w:r>
        <w:rPr>
          <w:rFonts w:hint="eastAsia"/>
          <w:spacing w:val="-4"/>
          <w:kern w:val="0"/>
          <w:sz w:val="16"/>
        </w:rPr>
        <w:t>健康福祉部</w:t>
      </w:r>
      <w:r>
        <w:rPr>
          <w:rFonts w:hint="eastAsia"/>
          <w:kern w:val="0"/>
          <w:sz w:val="16"/>
        </w:rPr>
        <w:t>障害者支援局</w:t>
      </w:r>
      <w:r>
        <w:rPr>
          <w:rFonts w:hint="eastAsia"/>
          <w:kern w:val="0"/>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59"/>
        </w:numPr>
        <w:autoSpaceDE w:val="0"/>
        <w:autoSpaceDN w:val="0"/>
        <w:adjustRightInd w:val="0"/>
        <w:spacing w:line="360" w:lineRule="exact"/>
        <w:jc w:val="left"/>
        <w:rPr>
          <w:rFonts w:hint="default"/>
          <w:color w:val="000000" w:themeColor="text1"/>
          <w:kern w:val="0"/>
        </w:rPr>
      </w:pPr>
      <w:r>
        <w:rPr>
          <w:rFonts w:hint="eastAsia"/>
          <w:color w:val="000000" w:themeColor="text1"/>
          <w:kern w:val="0"/>
        </w:rPr>
        <w:t>障害のある人の地域生活の質的向上を図るため、様々な障害に応じた機能回復、社会適応等の日常生活上必要な訓練、研修等の充実に努めます。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ind w:left="576"/>
        <w:jc w:val="left"/>
        <w:rPr>
          <w:rFonts w:hint="default"/>
          <w:color w:val="000000" w:themeColor="text1"/>
          <w:kern w:val="0"/>
        </w:rPr>
      </w:pPr>
    </w:p>
    <w:p>
      <w:pPr>
        <w:pStyle w:val="0"/>
        <w:numPr>
          <w:ilvl w:val="0"/>
          <w:numId w:val="59"/>
        </w:numPr>
        <w:autoSpaceDE w:val="0"/>
        <w:autoSpaceDN w:val="0"/>
        <w:adjustRightInd w:val="0"/>
        <w:spacing w:line="360" w:lineRule="exact"/>
        <w:jc w:val="left"/>
        <w:rPr>
          <w:rFonts w:hint="default"/>
          <w:color w:val="000000" w:themeColor="text1"/>
          <w:kern w:val="0"/>
        </w:rPr>
      </w:pPr>
      <w:r>
        <w:rPr>
          <w:rFonts w:hint="eastAsia"/>
          <w:color w:val="000000" w:themeColor="text1"/>
          <w:kern w:val="0"/>
        </w:rPr>
        <w:t>移行調整が難しいケースに対して、必要に応じて、各関係機関と連携・協力して円滑な移行に向け調整を行うとともに、必要な地域資源の整備等の協議を行います。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ind w:left="576"/>
        <w:jc w:val="left"/>
        <w:rPr>
          <w:rFonts w:hint="default"/>
          <w:color w:val="000000" w:themeColor="text1"/>
          <w:kern w:val="0"/>
        </w:rPr>
      </w:pPr>
    </w:p>
    <w:p>
      <w:pPr>
        <w:pStyle w:val="0"/>
        <w:rPr>
          <w:rFonts w:hint="default"/>
        </w:rPr>
      </w:pPr>
      <w:r>
        <w:rPr>
          <w:rFonts w:hint="eastAsia" w:ascii="ＭＳ ゴシック" w:hAnsi="ＭＳ ゴシック" w:eastAsia="ＭＳ ゴシック"/>
        </w:rPr>
        <w:t>【数値目標】</w:t>
      </w:r>
    </w:p>
    <w:tbl>
      <w:tblPr>
        <w:tblStyle w:val="11"/>
        <w:tblW w:w="9662"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4"/>
        <w:gridCol w:w="4870"/>
        <w:gridCol w:w="2189"/>
        <w:gridCol w:w="2189"/>
      </w:tblGrid>
      <w:tr>
        <w:trPr>
          <w:trHeight w:val="58"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351"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福祉施設の入所者の地域生活への移行</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2016</w:t>
            </w:r>
            <w:r>
              <w:rPr>
                <w:rFonts w:hint="eastAsia"/>
                <w:color w:val="000000" w:themeColor="text1"/>
              </w:rPr>
              <w:t>～</w:t>
            </w:r>
            <w:r>
              <w:rPr>
                <w:rFonts w:hint="eastAsia"/>
                <w:color w:val="000000" w:themeColor="text1"/>
              </w:rPr>
              <w:t>19</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196</w:t>
            </w:r>
            <w:r>
              <w:rPr>
                <w:rFonts w:hint="eastAsia"/>
                <w:color w:val="000000" w:themeColor="text1"/>
              </w:rPr>
              <w:t>人</w:t>
            </w:r>
          </w:p>
        </w:tc>
        <w:tc>
          <w:tcPr>
            <w:tcW w:w="2189" w:type="dxa"/>
            <w:vAlign w:val="center"/>
          </w:tcPr>
          <w:p>
            <w:pPr>
              <w:pStyle w:val="0"/>
              <w:spacing w:line="360" w:lineRule="exact"/>
              <w:ind w:left="-120" w:leftChars="-50" w:right="-120" w:rightChars="-50"/>
              <w:jc w:val="center"/>
              <w:rPr>
                <w:rFonts w:hint="default"/>
                <w:color w:val="000000" w:themeColor="text1"/>
              </w:rPr>
            </w:pPr>
            <w:r>
              <w:rPr>
                <w:rFonts w:hint="eastAsia"/>
                <w:color w:val="000000" w:themeColor="text1"/>
              </w:rPr>
              <w:t>（</w:t>
            </w:r>
            <w:r>
              <w:rPr>
                <w:rFonts w:hint="eastAsia"/>
                <w:color w:val="000000" w:themeColor="text1"/>
              </w:rPr>
              <w:t>2020</w:t>
            </w:r>
            <w:r>
              <w:rPr>
                <w:rFonts w:hint="eastAsia"/>
                <w:color w:val="000000" w:themeColor="text1"/>
              </w:rPr>
              <w:t>～</w:t>
            </w:r>
            <w:r>
              <w:rPr>
                <w:rFonts w:hint="eastAsia"/>
                <w:color w:val="000000" w:themeColor="text1"/>
              </w:rPr>
              <w:t>23</w:t>
            </w:r>
            <w:r>
              <w:rPr>
                <w:rFonts w:hint="eastAsia"/>
                <w:color w:val="000000" w:themeColor="text1"/>
              </w:rPr>
              <w:t>年度）</w:t>
            </w:r>
          </w:p>
          <w:p>
            <w:pPr>
              <w:pStyle w:val="0"/>
              <w:spacing w:line="360" w:lineRule="exact"/>
              <w:ind w:left="-120" w:leftChars="-50" w:right="-120" w:rightChars="-50"/>
              <w:jc w:val="center"/>
              <w:rPr>
                <w:rFonts w:hint="default"/>
                <w:color w:val="000000" w:themeColor="text1"/>
              </w:rPr>
            </w:pPr>
            <w:r>
              <w:rPr>
                <w:rFonts w:hint="eastAsia"/>
                <w:color w:val="000000" w:themeColor="text1"/>
              </w:rPr>
              <w:t>累計</w:t>
            </w:r>
            <w:r>
              <w:rPr>
                <w:rFonts w:hint="eastAsia"/>
                <w:color w:val="000000" w:themeColor="text1"/>
              </w:rPr>
              <w:t>206</w:t>
            </w:r>
            <w:r>
              <w:rPr>
                <w:rFonts w:hint="eastAsia"/>
                <w:color w:val="000000" w:themeColor="text1"/>
              </w:rPr>
              <w:t>人</w:t>
            </w:r>
          </w:p>
        </w:tc>
      </w:tr>
    </w:tbl>
    <w:p>
      <w:pPr>
        <w:pStyle w:val="0"/>
        <w:autoSpaceDE w:val="0"/>
        <w:autoSpaceDN w:val="0"/>
        <w:adjustRightInd w:val="0"/>
        <w:jc w:val="left"/>
        <w:rPr>
          <w:rFonts w:hint="default"/>
        </w:rPr>
      </w:pPr>
    </w:p>
    <w:p>
      <w:pPr>
        <w:pStyle w:val="0"/>
        <w:autoSpaceDE w:val="0"/>
        <w:autoSpaceDN w:val="0"/>
        <w:adjustRightInd w:val="0"/>
        <w:jc w:val="left"/>
        <w:rPr>
          <w:rFonts w:hint="default"/>
          <w:color w:val="000000" w:themeColor="text1"/>
        </w:rPr>
      </w:pPr>
      <w:r>
        <w:rPr>
          <w:rFonts w:hint="eastAsia" w:ascii="ＭＳ ゴシック" w:hAnsi="ＭＳ ゴシック" w:eastAsia="ＭＳ ゴシック"/>
          <w:color w:val="000000" w:themeColor="text1"/>
        </w:rPr>
        <w:t>（２）居住の場の充実</w:t>
      </w:r>
    </w:p>
    <w:p>
      <w:pPr>
        <w:pStyle w:val="0"/>
        <w:rPr>
          <w:rFonts w:hint="default"/>
          <w:color w:val="000000" w:themeColor="text1"/>
        </w:rPr>
      </w:pPr>
      <w:r>
        <w:rPr>
          <w:rFonts w:hint="eastAsia" w:ascii="ＭＳ ゴシック" w:hAnsi="ＭＳ ゴシック" w:eastAsia="ＭＳ ゴシック"/>
          <w:color w:val="000000" w:themeColor="text1"/>
        </w:rPr>
        <w:t>【現状と課題】</w:t>
      </w:r>
    </w:p>
    <w:p>
      <w:pPr>
        <w:pStyle w:val="0"/>
        <w:numPr>
          <w:ilvl w:val="0"/>
          <w:numId w:val="60"/>
        </w:numPr>
        <w:autoSpaceDE w:val="0"/>
        <w:autoSpaceDN w:val="0"/>
        <w:adjustRightInd w:val="0"/>
        <w:spacing w:line="360" w:lineRule="exact"/>
        <w:jc w:val="left"/>
        <w:rPr>
          <w:rFonts w:hint="default"/>
        </w:rPr>
      </w:pPr>
      <w:r>
        <w:rPr>
          <w:rFonts w:hint="eastAsia"/>
          <w:color w:val="000000" w:themeColor="text1"/>
          <w:kern w:val="0"/>
        </w:rPr>
        <w:t>「障害のある方の実態調査」（</w:t>
      </w:r>
      <w:r>
        <w:rPr>
          <w:rFonts w:hint="eastAsia"/>
          <w:color w:val="000000" w:themeColor="text1"/>
          <w:kern w:val="0"/>
        </w:rPr>
        <w:t>2020</w:t>
      </w:r>
      <w:r>
        <w:rPr>
          <w:rFonts w:hint="eastAsia"/>
          <w:color w:val="000000" w:themeColor="text1"/>
          <w:kern w:val="0"/>
        </w:rPr>
        <w:t>年度）によると、入所している施設以外で暮らすために必要だと考えることのうち、</w:t>
      </w:r>
      <w:r>
        <w:rPr>
          <w:rFonts w:hint="eastAsia"/>
          <w:color w:val="000000" w:themeColor="text1"/>
          <w:kern w:val="0"/>
        </w:rPr>
        <w:t>13.1</w:t>
      </w:r>
      <w:r>
        <w:rPr>
          <w:rFonts w:hint="eastAsia"/>
          <w:color w:val="000000" w:themeColor="text1"/>
          <w:kern w:val="0"/>
        </w:rPr>
        <w:t>％が</w:t>
      </w:r>
      <w:r>
        <w:rPr>
          <w:rFonts w:hint="eastAsia"/>
          <w:kern w:val="0"/>
        </w:rPr>
        <w:t>グループホーム</w:t>
      </w:r>
      <w:r>
        <w:rPr>
          <w:rFonts w:hint="eastAsia"/>
          <w:kern w:val="0"/>
          <w:vertAlign w:val="superscript"/>
        </w:rPr>
        <w:t>＊</w:t>
      </w:r>
      <w:r>
        <w:rPr>
          <w:rFonts w:hint="eastAsia"/>
          <w:kern w:val="0"/>
        </w:rPr>
        <w:t>等の整備をあげていることから、地域生活への移行を促進するための受け皿となるグループホーム等の整備を一層促進していく必要があります。</w:t>
      </w:r>
    </w:p>
    <w:p>
      <w:pPr>
        <w:pStyle w:val="0"/>
        <w:autoSpaceDE w:val="0"/>
        <w:autoSpaceDN w:val="0"/>
        <w:adjustRightInd w:val="0"/>
        <w:spacing w:line="360" w:lineRule="exact"/>
        <w:jc w:val="left"/>
        <w:rPr>
          <w:rFonts w:hint="default"/>
        </w:rPr>
      </w:pPr>
    </w:p>
    <w:p>
      <w:pPr>
        <w:pStyle w:val="0"/>
        <w:autoSpaceDE w:val="0"/>
        <w:autoSpaceDN w:val="0"/>
        <w:adjustRightInd w:val="0"/>
        <w:jc w:val="left"/>
        <w:rPr>
          <w:rFonts w:hint="default"/>
        </w:rPr>
      </w:pPr>
      <w:r>
        <w:rPr>
          <w:rFonts w:hint="eastAsia" w:ascii="ＭＳ ゴシック" w:hAnsi="ＭＳ ゴシック" w:eastAsia="ＭＳ ゴシック"/>
        </w:rPr>
        <w:t>【県の取組】</w:t>
      </w:r>
    </w:p>
    <w:p>
      <w:pPr>
        <w:pStyle w:val="0"/>
        <w:numPr>
          <w:ilvl w:val="0"/>
          <w:numId w:val="61"/>
        </w:numPr>
        <w:autoSpaceDE w:val="0"/>
        <w:autoSpaceDN w:val="0"/>
        <w:adjustRightInd w:val="0"/>
        <w:spacing w:line="360" w:lineRule="exact"/>
        <w:jc w:val="left"/>
        <w:rPr>
          <w:rFonts w:hint="default"/>
        </w:rPr>
      </w:pPr>
      <w:r>
        <w:rPr>
          <w:rFonts w:hint="eastAsia"/>
        </w:rPr>
        <w:t>障害のある人の地域生活の場を確保するため、国の補助制度を活用し、グループホームの計画的な整備を促進します。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61"/>
        </w:numPr>
        <w:autoSpaceDE w:val="0"/>
        <w:autoSpaceDN w:val="0"/>
        <w:adjustRightInd w:val="0"/>
        <w:spacing w:line="360" w:lineRule="exact"/>
        <w:jc w:val="left"/>
        <w:rPr>
          <w:rFonts w:hint="default"/>
        </w:rPr>
      </w:pPr>
      <w:r>
        <w:rPr>
          <w:rFonts w:hint="eastAsia"/>
          <w:color w:val="000000" w:themeColor="text1"/>
        </w:rPr>
        <w:t>障害の重度化・高齢化に対応できるよう、昼間も支援を受けることが可能な日中サービス支援型グループホーム</w:t>
      </w:r>
      <w:r>
        <w:rPr>
          <w:rFonts w:hint="eastAsia"/>
          <w:spacing w:val="-4"/>
          <w:kern w:val="0"/>
          <w:vertAlign w:val="superscript"/>
        </w:rPr>
        <w:t>＊</w:t>
      </w:r>
      <w:r>
        <w:rPr>
          <w:rFonts w:hint="eastAsia"/>
          <w:color w:val="000000" w:themeColor="text1"/>
        </w:rPr>
        <w:t>の整備を促進します。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61"/>
        </w:numPr>
        <w:autoSpaceDE w:val="0"/>
        <w:autoSpaceDN w:val="0"/>
        <w:adjustRightInd w:val="0"/>
        <w:spacing w:line="360" w:lineRule="exact"/>
        <w:jc w:val="left"/>
        <w:rPr>
          <w:rFonts w:hint="default"/>
        </w:rPr>
      </w:pPr>
      <w:r>
        <w:rPr>
          <w:rFonts w:hint="eastAsia"/>
          <w:kern w:val="0"/>
        </w:rPr>
        <w:t>公営住宅や民間の賃貸住宅等を活用して、グループホーム等が運営できるように支援します。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61"/>
        </w:numPr>
        <w:autoSpaceDE w:val="0"/>
        <w:autoSpaceDN w:val="0"/>
        <w:adjustRightInd w:val="0"/>
        <w:spacing w:line="360" w:lineRule="exact"/>
        <w:jc w:val="left"/>
        <w:rPr>
          <w:rFonts w:hint="default"/>
        </w:rPr>
      </w:pPr>
      <w:r>
        <w:rPr>
          <w:rFonts w:hint="eastAsia"/>
          <w:kern w:val="0"/>
        </w:rPr>
        <w:t>グループホームに入居する障害のある人に対する国の家賃補助制度について、市町と連携して、利用の促進と周知を図っていきます。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rPr>
          <w:rFonts w:hint="default"/>
        </w:rPr>
      </w:pPr>
      <w:r>
        <w:rPr>
          <w:rFonts w:hint="eastAsia" w:ascii="ＭＳ ゴシック" w:hAnsi="ＭＳ ゴシック" w:eastAsia="ＭＳ ゴシック"/>
        </w:rPr>
        <w:t>【数値目標】</w:t>
      </w:r>
    </w:p>
    <w:tbl>
      <w:tblPr>
        <w:tblStyle w:val="11"/>
        <w:tblW w:w="9662"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38"/>
        <w:gridCol w:w="4855"/>
        <w:gridCol w:w="2185"/>
        <w:gridCol w:w="2184"/>
      </w:tblGrid>
      <w:tr>
        <w:trPr>
          <w:trHeight w:val="58"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55"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4" w:type="dxa"/>
            <w:vAlign w:val="center"/>
          </w:tcPr>
          <w:p>
            <w:pPr>
              <w:pStyle w:val="0"/>
              <w:spacing w:line="360" w:lineRule="exact"/>
              <w:jc w:val="center"/>
              <w:rPr>
                <w:rFonts w:hint="default"/>
              </w:rPr>
            </w:pPr>
            <w:r>
              <w:rPr>
                <w:rFonts w:hint="eastAsia"/>
              </w:rPr>
              <w:t>目標値</w:t>
            </w:r>
          </w:p>
        </w:tc>
      </w:tr>
      <w:tr>
        <w:trPr>
          <w:trHeight w:val="351"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rPr>
            </w:pPr>
            <w:r>
              <w:rPr>
                <w:rFonts w:hint="eastAsia"/>
                <w:color w:val="000000" w:themeColor="text1"/>
              </w:rPr>
              <w:t>１</w:t>
            </w:r>
          </w:p>
        </w:tc>
        <w:tc>
          <w:tcPr>
            <w:tcW w:w="4855"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rPr>
            </w:pPr>
            <w:r>
              <w:rPr>
                <w:rFonts w:hint="eastAsia"/>
                <w:color w:val="000000" w:themeColor="text1"/>
              </w:rPr>
              <w:t>日中サービス支援型グループホーム</w:t>
            </w:r>
            <w:r>
              <w:rPr>
                <w:rFonts w:hint="eastAsia"/>
                <w:spacing w:val="-4"/>
                <w:kern w:val="0"/>
                <w:vertAlign w:val="superscript"/>
              </w:rPr>
              <w:t>＊</w:t>
            </w:r>
            <w:r>
              <w:rPr>
                <w:rFonts w:hint="eastAsia"/>
                <w:color w:val="000000" w:themeColor="text1"/>
              </w:rPr>
              <w:t>1</w:t>
            </w:r>
            <w:r>
              <w:rPr>
                <w:rFonts w:hint="eastAsia"/>
                <w:color w:val="000000" w:themeColor="text1"/>
              </w:rPr>
              <w:t>ヶ月当たり利用人数</w:t>
            </w:r>
          </w:p>
        </w:tc>
        <w:tc>
          <w:tcPr>
            <w:tcW w:w="218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232</w:t>
            </w:r>
            <w:r>
              <w:rPr>
                <w:rFonts w:hint="eastAsia"/>
                <w:color w:val="000000" w:themeColor="text1"/>
              </w:rPr>
              <w:t>人</w:t>
            </w:r>
          </w:p>
        </w:tc>
        <w:tc>
          <w:tcPr>
            <w:tcW w:w="2184" w:type="dxa"/>
            <w:vAlign w:val="center"/>
          </w:tcPr>
          <w:p>
            <w:pPr>
              <w:pStyle w:val="0"/>
              <w:spacing w:line="360" w:lineRule="exact"/>
              <w:ind w:left="-120" w:leftChars="-50" w:right="-120" w:rightChars="-50"/>
              <w:jc w:val="center"/>
              <w:rPr>
                <w:rFonts w:hint="default"/>
                <w:color w:val="000000" w:themeColor="text1"/>
              </w:rPr>
            </w:pPr>
            <w:r>
              <w:rPr>
                <w:rFonts w:hint="eastAsia"/>
                <w:color w:val="000000" w:themeColor="text1"/>
              </w:rPr>
              <w:t>（</w:t>
            </w:r>
            <w:r>
              <w:rPr>
                <w:rFonts w:hint="eastAsia"/>
                <w:color w:val="000000" w:themeColor="text1"/>
              </w:rPr>
              <w:t>2025</w:t>
            </w:r>
            <w:r>
              <w:rPr>
                <w:rFonts w:hint="eastAsia"/>
                <w:color w:val="000000" w:themeColor="text1"/>
              </w:rPr>
              <w:t>年度）</w:t>
            </w:r>
          </w:p>
          <w:p>
            <w:pPr>
              <w:pStyle w:val="0"/>
              <w:spacing w:line="360" w:lineRule="exact"/>
              <w:ind w:left="-120" w:leftChars="-50" w:right="-120" w:rightChars="-50"/>
              <w:jc w:val="center"/>
              <w:rPr>
                <w:rFonts w:hint="default"/>
                <w:color w:val="000000" w:themeColor="text1"/>
              </w:rPr>
            </w:pPr>
            <w:r>
              <w:rPr>
                <w:rFonts w:hint="eastAsia"/>
                <w:color w:val="000000" w:themeColor="text1"/>
              </w:rPr>
              <w:t>521</w:t>
            </w:r>
            <w:r>
              <w:rPr>
                <w:rFonts w:hint="eastAsia"/>
                <w:color w:val="000000" w:themeColor="text1"/>
              </w:rPr>
              <w:t>人</w:t>
            </w:r>
          </w:p>
        </w:tc>
      </w:tr>
    </w:tbl>
    <w:p>
      <w:pPr>
        <w:pStyle w:val="0"/>
        <w:autoSpaceDE w:val="0"/>
        <w:autoSpaceDN w:val="0"/>
        <w:adjustRightInd w:val="0"/>
        <w:jc w:val="left"/>
        <w:rPr>
          <w:rFonts w:hint="default"/>
          <w:color w:val="000000" w:themeColor="text1"/>
        </w:rPr>
      </w:pPr>
      <w:r>
        <w:rPr>
          <w:rFonts w:hint="eastAsia" w:ascii="ＭＳ ゴシック" w:hAnsi="ＭＳ ゴシック" w:eastAsia="ＭＳ ゴシック"/>
          <w:color w:val="000000" w:themeColor="text1"/>
        </w:rPr>
        <w:t>（３）精神障害のある人の地域移行の促進</w:t>
      </w:r>
    </w:p>
    <w:p>
      <w:pPr>
        <w:pStyle w:val="0"/>
        <w:autoSpaceDE w:val="0"/>
        <w:autoSpaceDN w:val="0"/>
        <w:adjustRightInd w:val="0"/>
        <w:jc w:val="left"/>
        <w:rPr>
          <w:rFonts w:hint="default"/>
        </w:rPr>
      </w:pPr>
      <w:r>
        <w:rPr>
          <w:rFonts w:hint="eastAsia" w:ascii="ＭＳ ゴシック" w:hAnsi="ＭＳ ゴシック" w:eastAsia="ＭＳ ゴシック"/>
        </w:rPr>
        <w:t>【現状と課題】</w:t>
      </w:r>
    </w:p>
    <w:p>
      <w:pPr>
        <w:pStyle w:val="0"/>
        <w:numPr>
          <w:ilvl w:val="0"/>
          <w:numId w:val="36"/>
        </w:numPr>
        <w:autoSpaceDE w:val="0"/>
        <w:autoSpaceDN w:val="0"/>
        <w:adjustRightInd w:val="0"/>
        <w:spacing w:line="360" w:lineRule="exact"/>
        <w:jc w:val="left"/>
        <w:rPr>
          <w:rFonts w:hint="default"/>
        </w:rPr>
      </w:pPr>
      <w:r>
        <w:rPr>
          <w:rFonts w:hint="eastAsia"/>
        </w:rPr>
        <w:t>精神障害のある入院者の、入院後１年</w:t>
      </w:r>
      <w:r>
        <w:rPr>
          <w:rFonts w:hint="eastAsia"/>
          <w:color w:val="000000" w:themeColor="text1"/>
        </w:rPr>
        <w:t>時点</w:t>
      </w:r>
      <w:r>
        <w:rPr>
          <w:rFonts w:hint="eastAsia"/>
        </w:rPr>
        <w:t>の退院率は高くなってきましたが、１年以上の長期入院者の地域移行を進めるため、様々な支援が必要です。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rPr>
      </w:pPr>
      <w:r>
        <w:rPr>
          <w:rFonts w:hint="eastAsia"/>
        </w:rPr>
        <w:t>長期入院している精神障害のある人の地域移行を進めるに当たっては、地域の一員として安心して自分らしい暮らしができるよう、精神障害にも対応した地域包括ケアシステムの構築を進める必要があります。</w:t>
      </w:r>
    </w:p>
    <w:p>
      <w:pPr>
        <w:pStyle w:val="0"/>
        <w:autoSpaceDE w:val="0"/>
        <w:autoSpaceDN w:val="0"/>
        <w:adjustRightInd w:val="0"/>
        <w:jc w:val="left"/>
        <w:rPr>
          <w:rFonts w:hint="default"/>
        </w:rPr>
      </w:pPr>
    </w:p>
    <w:p>
      <w:pPr>
        <w:pStyle w:val="0"/>
        <w:autoSpaceDE w:val="0"/>
        <w:autoSpaceDN w:val="0"/>
        <w:adjustRightInd w:val="0"/>
        <w:jc w:val="left"/>
        <w:rPr>
          <w:rFonts w:hint="default"/>
        </w:rPr>
      </w:pPr>
      <w:r>
        <w:rPr>
          <w:rFonts w:hint="eastAsia" w:ascii="ＭＳ ゴシック" w:hAnsi="ＭＳ ゴシック" w:eastAsia="ＭＳ ゴシック"/>
        </w:rPr>
        <w:t>【県の取組】</w:t>
      </w:r>
    </w:p>
    <w:p>
      <w:pPr>
        <w:pStyle w:val="0"/>
        <w:numPr>
          <w:ilvl w:val="0"/>
          <w:numId w:val="62"/>
        </w:numPr>
        <w:autoSpaceDE w:val="0"/>
        <w:autoSpaceDN w:val="0"/>
        <w:adjustRightInd w:val="0"/>
        <w:spacing w:line="360" w:lineRule="exact"/>
        <w:jc w:val="left"/>
        <w:rPr>
          <w:rFonts w:hint="default"/>
        </w:rPr>
      </w:pPr>
      <w:r>
        <w:rPr>
          <w:rFonts w:hint="eastAsia"/>
          <w:spacing w:val="-4"/>
          <w:kern w:val="0"/>
        </w:rPr>
        <w:t>精神障害のある人の早期退院や社会復帰の支援のため、精神障害のある人の状況に応じた医師、看護職員、精神保健福祉士、作業療法士</w:t>
      </w:r>
      <w:r>
        <w:rPr>
          <w:rFonts w:hint="eastAsia"/>
          <w:vertAlign w:val="superscript"/>
        </w:rPr>
        <w:t>＊</w:t>
      </w:r>
      <w:r>
        <w:rPr>
          <w:rFonts w:hint="eastAsia"/>
          <w:spacing w:val="-4"/>
          <w:kern w:val="0"/>
        </w:rPr>
        <w:t>等の多職種チームによる退院支援や同じ課題や環境の経験を生かしたピアサポートの活用等を推進するとともに、障害福祉サービス事業所、相談支援事業所及び行政の協力体制を強化し、段階的、計画的に地域生活への移行を促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62"/>
        </w:numPr>
        <w:autoSpaceDE w:val="0"/>
        <w:autoSpaceDN w:val="0"/>
        <w:adjustRightInd w:val="0"/>
        <w:spacing w:line="360" w:lineRule="exact"/>
        <w:jc w:val="left"/>
        <w:rPr>
          <w:rFonts w:hint="default"/>
        </w:rPr>
      </w:pPr>
      <w:r>
        <w:rPr>
          <w:rFonts w:hint="eastAsia"/>
          <w:spacing w:val="-4"/>
          <w:kern w:val="0"/>
        </w:rPr>
        <w:t>精神障害のある人が地域で安心して生活し続けることができるよう、</w:t>
      </w:r>
      <w:r>
        <w:rPr>
          <w:rFonts w:hint="eastAsia"/>
          <w:kern w:val="0"/>
        </w:rPr>
        <w:t>市町、病院や相談支援事業所等関係機関との相互調整を実施し、</w:t>
      </w:r>
      <w:r>
        <w:rPr>
          <w:rFonts w:hint="eastAsia"/>
          <w:spacing w:val="-4"/>
          <w:kern w:val="0"/>
        </w:rPr>
        <w:t>地域における居住環境及び生活環境の一層の整備や精神障害のある人の主体性に応じた社会参加を促進するための支援を行います。</w:t>
      </w:r>
    </w:p>
    <w:p>
      <w:pPr>
        <w:pStyle w:val="0"/>
        <w:autoSpaceDE w:val="0"/>
        <w:autoSpaceDN w:val="0"/>
        <w:adjustRightInd w:val="0"/>
        <w:spacing w:line="360" w:lineRule="exact"/>
        <w:ind w:left="576"/>
        <w:jc w:val="left"/>
        <w:rPr>
          <w:rFonts w:hint="default"/>
        </w:rPr>
      </w:pPr>
    </w:p>
    <w:p>
      <w:pPr>
        <w:pStyle w:val="0"/>
        <w:numPr>
          <w:ilvl w:val="0"/>
          <w:numId w:val="62"/>
        </w:numPr>
        <w:autoSpaceDE w:val="0"/>
        <w:autoSpaceDN w:val="0"/>
        <w:adjustRightInd w:val="0"/>
        <w:spacing w:line="360" w:lineRule="exact"/>
        <w:jc w:val="left"/>
        <w:rPr>
          <w:rFonts w:hint="default"/>
        </w:rPr>
      </w:pPr>
      <w:r>
        <w:rPr>
          <w:rFonts w:hint="eastAsia"/>
          <w:color w:val="000000" w:themeColor="text1"/>
          <w:spacing w:val="-4"/>
          <w:kern w:val="0"/>
        </w:rPr>
        <w:t>精神障害のある人が地域で生活しながら医療を受けることができるよう、精神障害のある人の精神疾患の状態やその家族の状況に応じていつでも必要な保健医療サービスや福祉サービスを提供できる体制を確保し、精神障害にも対応した地域包括ケアシステムの構築</w:t>
      </w:r>
      <w:r>
        <w:rPr>
          <w:rFonts w:hint="eastAsia"/>
          <w:spacing w:val="-4"/>
          <w:kern w:val="0"/>
        </w:rPr>
        <w:t>を推進します。さらに、</w:t>
      </w:r>
      <w:r>
        <w:rPr>
          <w:rFonts w:hint="eastAsia"/>
          <w:kern w:val="0"/>
        </w:rPr>
        <w:t>受療中断者等を医療受診や福祉サービスにつなげるため、行政と医療機関が連携した精神障害者訪問支援（アウトリーチ）を実施します。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rPr>
          <w:rFonts w:hint="default"/>
        </w:rPr>
      </w:pPr>
      <w:r>
        <w:rPr>
          <w:rFonts w:hint="eastAsia" w:ascii="ＭＳ ゴシック" w:hAnsi="ＭＳ ゴシック" w:eastAsia="ＭＳ ゴシック"/>
        </w:rPr>
        <w:t>【数値目標】</w:t>
      </w:r>
    </w:p>
    <w:tbl>
      <w:tblPr>
        <w:tblStyle w:val="11"/>
        <w:tblW w:w="9662"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4"/>
        <w:gridCol w:w="4870"/>
        <w:gridCol w:w="2189"/>
        <w:gridCol w:w="2189"/>
      </w:tblGrid>
      <w:tr>
        <w:trPr>
          <w:trHeight w:val="58"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351"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rPr>
            </w:pPr>
            <w:r>
              <w:rPr>
                <w:rFonts w:hint="eastAsia"/>
                <w:color w:val="000000" w:themeColor="text1"/>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rPr>
            </w:pPr>
            <w:r>
              <w:rPr>
                <w:rFonts w:hint="eastAsia"/>
                <w:color w:val="000000" w:themeColor="text1"/>
              </w:rPr>
              <w:t>精神病床における１年以上長期入院患者数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3,188</w:t>
            </w:r>
            <w:r>
              <w:rPr>
                <w:rFonts w:hint="eastAsia"/>
                <w:color w:val="000000" w:themeColor="text1"/>
              </w:rPr>
              <w:t>人</w:t>
            </w:r>
          </w:p>
        </w:tc>
        <w:tc>
          <w:tcPr>
            <w:tcW w:w="2189" w:type="dxa"/>
            <w:vAlign w:val="center"/>
          </w:tcPr>
          <w:p>
            <w:pPr>
              <w:pStyle w:val="0"/>
              <w:spacing w:line="360" w:lineRule="exact"/>
              <w:ind w:right="-120" w:rightChars="-50"/>
              <w:jc w:val="center"/>
              <w:rPr>
                <w:rFonts w:hint="default"/>
                <w:color w:val="000000" w:themeColor="text1"/>
              </w:rPr>
            </w:pPr>
            <w:r>
              <w:rPr>
                <w:rFonts w:hint="eastAsia"/>
                <w:color w:val="000000" w:themeColor="text1"/>
              </w:rPr>
              <w:t>(2023</w:t>
            </w:r>
            <w:r>
              <w:rPr>
                <w:rFonts w:hint="eastAsia"/>
                <w:color w:val="000000" w:themeColor="text1"/>
              </w:rPr>
              <w:t>年度）</w:t>
            </w:r>
          </w:p>
          <w:p>
            <w:pPr>
              <w:pStyle w:val="0"/>
              <w:spacing w:line="360" w:lineRule="exact"/>
              <w:ind w:right="-120" w:rightChars="-50"/>
              <w:jc w:val="center"/>
              <w:rPr>
                <w:rFonts w:hint="default"/>
                <w:color w:val="000000" w:themeColor="text1"/>
              </w:rPr>
            </w:pPr>
            <w:r>
              <w:rPr>
                <w:rFonts w:hint="eastAsia"/>
                <w:color w:val="000000" w:themeColor="text1"/>
              </w:rPr>
              <w:t>2,783</w:t>
            </w:r>
            <w:r>
              <w:rPr>
                <w:rFonts w:hint="eastAsia"/>
                <w:color w:val="000000" w:themeColor="text1"/>
              </w:rPr>
              <w:t>人</w:t>
            </w:r>
          </w:p>
        </w:tc>
      </w:tr>
      <w:tr>
        <w:trPr>
          <w:trHeight w:val="756"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rPr>
            </w:pPr>
            <w:r>
              <w:rPr>
                <w:rFonts w:hint="eastAsia"/>
                <w:color w:val="000000" w:themeColor="text1"/>
              </w:rPr>
              <w:t>２</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rPr>
            </w:pPr>
            <w:r>
              <w:rPr>
                <w:rFonts w:hint="eastAsia"/>
                <w:color w:val="000000" w:themeColor="text1"/>
              </w:rPr>
              <w:t>精神障害者地域移行定着推進研修の修了者数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(2019</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120</w:t>
            </w:r>
            <w:r>
              <w:rPr>
                <w:rFonts w:hint="eastAsia"/>
                <w:color w:val="000000" w:themeColor="text1"/>
              </w:rPr>
              <w:t>人</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(2022</w:t>
            </w:r>
            <w:r>
              <w:rPr>
                <w:rFonts w:hint="eastAsia"/>
                <w:color w:val="000000" w:themeColor="text1"/>
              </w:rPr>
              <w:t>～</w:t>
            </w:r>
            <w:r>
              <w:rPr>
                <w:rFonts w:hint="eastAsia"/>
                <w:color w:val="000000" w:themeColor="text1"/>
              </w:rPr>
              <w:t>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500</w:t>
            </w:r>
            <w:r>
              <w:rPr>
                <w:rFonts w:hint="eastAsia"/>
                <w:color w:val="000000" w:themeColor="text1"/>
              </w:rPr>
              <w:t>人</w:t>
            </w:r>
          </w:p>
        </w:tc>
      </w:tr>
    </w:tbl>
    <w:p>
      <w:pPr>
        <w:pStyle w:val="0"/>
        <w:outlineLvl w:val="2"/>
        <w:rPr>
          <w:rFonts w:hint="default" w:ascii="ＭＳ ゴシック" w:hAnsi="ＭＳ ゴシック" w:eastAsia="ＭＳ ゴシック"/>
          <w:color w:val="000000" w:themeColor="text1"/>
        </w:rPr>
      </w:pPr>
    </w:p>
    <w:p>
      <w:pPr>
        <w:pStyle w:val="0"/>
        <w:outlineLvl w:val="2"/>
        <w:rPr>
          <w:rFonts w:hint="default" w:ascii="ＭＳ ゴシック" w:hAnsi="ＭＳ ゴシック" w:eastAsia="ＭＳ ゴシック"/>
        </w:rPr>
      </w:pPr>
      <w:bookmarkStart w:id="108" w:name="_Toc503474066"/>
    </w:p>
    <w:p>
      <w:pPr>
        <w:pStyle w:val="0"/>
        <w:outlineLvl w:val="2"/>
        <w:rPr>
          <w:rFonts w:hint="default" w:ascii="ＭＳ ゴシック" w:hAnsi="ＭＳ ゴシック" w:eastAsia="ＭＳ ゴシック"/>
        </w:rPr>
      </w:pPr>
    </w:p>
    <w:p>
      <w:pPr>
        <w:pStyle w:val="0"/>
        <w:outlineLvl w:val="2"/>
        <w:rPr>
          <w:rFonts w:hint="default" w:ascii="ＭＳ ゴシック" w:hAnsi="ＭＳ ゴシック" w:eastAsia="ＭＳ ゴシック"/>
        </w:rPr>
      </w:pPr>
    </w:p>
    <w:p>
      <w:pPr>
        <w:pStyle w:val="0"/>
        <w:outlineLvl w:val="2"/>
        <w:rPr>
          <w:rFonts w:hint="default" w:ascii="ＭＳ ゴシック" w:hAnsi="ＭＳ ゴシック" w:eastAsia="ＭＳ ゴシック"/>
        </w:rPr>
      </w:pPr>
      <w:r>
        <w:rPr>
          <w:rFonts w:hint="eastAsia" w:ascii="ＭＳ ゴシック" w:hAnsi="ＭＳ ゴシック" w:eastAsia="ＭＳ ゴシック"/>
          <w:color w:val="000000" w:themeColor="text1"/>
        </w:rPr>
        <w:t>（４）</w:t>
      </w:r>
      <w:r>
        <w:rPr>
          <w:rFonts w:hint="eastAsia" w:ascii="ＭＳ ゴシック" w:hAnsi="ＭＳ ゴシック" w:eastAsia="ＭＳ ゴシック"/>
        </w:rPr>
        <w:t>矯正施設</w:t>
      </w:r>
      <w:r>
        <w:rPr>
          <w:rFonts w:hint="eastAsia"/>
          <w:color w:val="000000" w:themeColor="text1"/>
          <w:spacing w:val="-4"/>
          <w:kern w:val="0"/>
          <w:vertAlign w:val="superscript"/>
        </w:rPr>
        <w:t>＊</w:t>
      </w:r>
      <w:r>
        <w:rPr>
          <w:rFonts w:hint="eastAsia" w:ascii="ＭＳ ゴシック" w:hAnsi="ＭＳ ゴシック" w:eastAsia="ＭＳ ゴシック"/>
        </w:rPr>
        <w:t>退所障害者等に対する社会復帰支援の充実</w:t>
      </w:r>
      <w:bookmarkEnd w:id="108"/>
    </w:p>
    <w:p>
      <w:pPr>
        <w:pStyle w:val="0"/>
        <w:rPr>
          <w:rFonts w:hint="default"/>
        </w:rPr>
      </w:pPr>
      <w:r>
        <w:rPr>
          <w:rFonts w:hint="eastAsia" w:ascii="ＭＳ ゴシック" w:hAnsi="ＭＳ ゴシック" w:eastAsia="ＭＳ ゴシック"/>
        </w:rPr>
        <w:t>【現状と課題】</w:t>
      </w:r>
    </w:p>
    <w:p>
      <w:pPr>
        <w:pStyle w:val="0"/>
        <w:numPr>
          <w:ilvl w:val="0"/>
          <w:numId w:val="63"/>
        </w:numPr>
        <w:autoSpaceDE w:val="0"/>
        <w:autoSpaceDN w:val="0"/>
        <w:adjustRightInd w:val="0"/>
        <w:spacing w:line="360" w:lineRule="exact"/>
        <w:jc w:val="left"/>
        <w:rPr>
          <w:rFonts w:hint="default"/>
        </w:rPr>
      </w:pPr>
      <w:r>
        <w:rPr>
          <w:rFonts w:hint="eastAsia"/>
          <w:kern w:val="0"/>
        </w:rPr>
        <w:t>矯正施設退所障害者は、福祉的な支援（障害者手帳の発給、年金受給等）が必要にもかかわらず適切な支援を受けることができず、行き場所も定まらない場合が多く、その結果再犯に至るケースが多い状況で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rPr>
      </w:pPr>
      <w:r>
        <w:rPr>
          <w:rFonts w:hint="eastAsia"/>
          <w:kern w:val="0"/>
        </w:rPr>
        <w:t>地域に戻るにあたり、受け入れ先となる施設等の抵抗感が強いため、帰住先の決定が難しいケースがあります。また、住民票が抹消されているケース等では、福祉制度の利用の際に援護の実施者となる市町の確定が難しい場合がありま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numPr>
          <w:ilvl w:val="0"/>
          <w:numId w:val="64"/>
        </w:numPr>
        <w:autoSpaceDE w:val="0"/>
        <w:autoSpaceDN w:val="0"/>
        <w:adjustRightInd w:val="0"/>
        <w:spacing w:line="360" w:lineRule="exact"/>
        <w:jc w:val="left"/>
        <w:rPr>
          <w:rFonts w:hint="default"/>
          <w:color w:val="000000" w:themeColor="text1"/>
          <w:spacing w:val="-4"/>
          <w:kern w:val="0"/>
          <w:sz w:val="16"/>
        </w:rPr>
      </w:pPr>
      <w:r>
        <w:rPr>
          <w:rFonts w:hint="eastAsia"/>
          <w:kern w:val="0"/>
        </w:rPr>
        <w:t>司法と福祉を結ぶ機関である「地域生活定着支援センター」を設置し</w:t>
      </w:r>
      <w:r>
        <w:rPr>
          <w:rFonts w:hint="eastAsia"/>
          <w:kern w:val="0"/>
          <w:sz w:val="24"/>
        </w:rPr>
        <w:t>、</w:t>
      </w:r>
      <w:r>
        <w:rPr>
          <w:rFonts w:hint="eastAsia" w:ascii="ＭＳ 明朝" w:hAnsi="ＭＳ 明朝" w:eastAsia="ＭＳ 明朝"/>
          <w:sz w:val="24"/>
          <w:highlight w:val="none"/>
          <w:u w:val="none" w:color="auto"/>
        </w:rPr>
        <w:t>福祉的支援を必要とする被疑者、</w:t>
      </w:r>
      <w:r>
        <w:rPr>
          <w:rFonts w:hint="eastAsia" w:ascii="ＭＳ 明朝" w:hAnsi="ＭＳ 明朝" w:eastAsia="ＭＳ 明朝"/>
          <w:color w:val="auto"/>
          <w:sz w:val="24"/>
          <w:highlight w:val="none"/>
          <w:u w:val="none" w:color="auto"/>
        </w:rPr>
        <w:t>被告人等の福祉サービス等の利用調整や釈放後の継続的な援助を行うとともに、</w:t>
      </w:r>
      <w:r>
        <w:rPr>
          <w:rFonts w:hint="eastAsia"/>
          <w:color w:val="000000" w:themeColor="text1"/>
          <w:kern w:val="0"/>
        </w:rPr>
        <w:t>帰住先を含めたニーズ把握、受入先調整、退所後のフォローアップ業務を行うことにより、社会復帰を支援しています。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障害者支援局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pacing w:val="-4"/>
          <w:kern w:val="0"/>
          <w:sz w:val="16"/>
        </w:rPr>
      </w:pPr>
    </w:p>
    <w:p>
      <w:pPr>
        <w:pStyle w:val="0"/>
        <w:numPr>
          <w:ilvl w:val="0"/>
          <w:numId w:val="64"/>
        </w:numPr>
        <w:autoSpaceDE w:val="0"/>
        <w:autoSpaceDN w:val="0"/>
        <w:adjustRightInd w:val="0"/>
        <w:spacing w:line="360" w:lineRule="exact"/>
        <w:jc w:val="left"/>
        <w:rPr>
          <w:rFonts w:hint="default"/>
          <w:spacing w:val="-4"/>
          <w:kern w:val="0"/>
          <w:sz w:val="16"/>
        </w:rPr>
      </w:pPr>
      <w:r>
        <w:rPr>
          <w:rFonts w:hint="eastAsia"/>
          <w:color w:val="000000" w:themeColor="text1"/>
          <w:kern w:val="0"/>
        </w:rPr>
        <w:t>受入先</w:t>
      </w:r>
      <w:r>
        <w:rPr>
          <w:rFonts w:hint="eastAsia"/>
          <w:kern w:val="0"/>
        </w:rPr>
        <w:t>の確保や円滑な福祉サービス利用等のため、関係事業者や市町に対する普及啓発に努めます。</w:t>
      </w:r>
      <w:r>
        <w:rPr>
          <w:rFonts w:hint="eastAsia"/>
          <w:sz w:val="16"/>
        </w:rPr>
        <w:t>[</w:t>
      </w:r>
      <w:r>
        <w:rPr>
          <w:rFonts w:hint="eastAsia"/>
          <w:spacing w:val="-4"/>
          <w:kern w:val="0"/>
          <w:sz w:val="16"/>
        </w:rPr>
        <w:t>健康福祉部</w:t>
      </w:r>
      <w:r>
        <w:rPr>
          <w:rFonts w:hint="eastAsia"/>
          <w:sz w:val="16"/>
        </w:rPr>
        <w:t>障害者支援局</w:t>
      </w:r>
      <w:r>
        <w:rPr>
          <w:rFonts w:hint="eastAsia"/>
          <w:sz w:val="16"/>
        </w:rPr>
        <w:t>]</w:t>
      </w:r>
    </w:p>
    <w:p>
      <w:pPr>
        <w:pStyle w:val="0"/>
        <w:spacing w:line="360" w:lineRule="exact"/>
        <w:rPr>
          <w:rFonts w:hint="default" w:ascii="ＭＳ ゴシック" w:hAnsi="ＭＳ ゴシック" w:eastAsia="ＭＳ ゴシック"/>
        </w:rPr>
      </w:pPr>
      <w:r>
        <w:rPr>
          <w:rFonts w:hint="eastAsia"/>
        </w:rPr>
        <w:br w:type="page"/>
      </w:r>
      <w:bookmarkStart w:id="109" w:name="_Toc503474067"/>
      <w:r>
        <w:rPr>
          <w:rFonts w:hint="eastAsia" w:ascii="ＭＳ ゴシック" w:hAnsi="ＭＳ ゴシック" w:eastAsia="ＭＳ ゴシック"/>
          <w:sz w:val="26"/>
          <w:u w:val="single" w:color="auto"/>
        </w:rPr>
        <w:t>４　一人ひとりの特性に応じた就労の促進</w:t>
      </w:r>
      <w:bookmarkEnd w:id="109"/>
    </w:p>
    <w:p>
      <w:pPr>
        <w:pStyle w:val="0"/>
        <w:outlineLvl w:val="2"/>
        <w:rPr>
          <w:rFonts w:hint="default" w:ascii="ＭＳ ゴシック" w:hAnsi="ＭＳ ゴシック" w:eastAsia="ＭＳ ゴシック"/>
          <w:color w:val="000000" w:themeColor="text1"/>
        </w:rPr>
      </w:pPr>
      <w:bookmarkStart w:id="110" w:name="_Toc503474068"/>
      <w:r>
        <w:rPr>
          <w:rFonts w:hint="eastAsia" w:ascii="ＭＳ ゴシック" w:hAnsi="ＭＳ ゴシック" w:eastAsia="ＭＳ ゴシック"/>
        </w:rPr>
        <w:t>（１）</w:t>
      </w:r>
      <w:r>
        <w:rPr>
          <w:rFonts w:hint="eastAsia" w:ascii="ＭＳ ゴシック" w:hAnsi="ＭＳ ゴシック" w:eastAsia="ＭＳ ゴシック"/>
          <w:color w:val="000000" w:themeColor="text1"/>
        </w:rPr>
        <w:t>一般就労への支援</w:t>
      </w:r>
      <w:bookmarkEnd w:id="110"/>
    </w:p>
    <w:p>
      <w:pPr>
        <w:pStyle w:val="0"/>
        <w:rPr>
          <w:rFonts w:hint="default"/>
          <w:color w:val="000000" w:themeColor="text1"/>
        </w:rPr>
      </w:pPr>
      <w:r>
        <w:rPr>
          <w:rFonts w:hint="eastAsia" w:ascii="ＭＳ ゴシック" w:hAnsi="ＭＳ ゴシック" w:eastAsia="ＭＳ ゴシック"/>
          <w:color w:val="000000" w:themeColor="text1"/>
        </w:rPr>
        <w:t>【現状と課題】</w:t>
      </w:r>
    </w:p>
    <w:p>
      <w:pPr>
        <w:pStyle w:val="0"/>
        <w:numPr>
          <w:ilvl w:val="0"/>
          <w:numId w:val="36"/>
        </w:numPr>
        <w:autoSpaceDE w:val="0"/>
        <w:autoSpaceDN w:val="0"/>
        <w:adjustRightInd w:val="0"/>
        <w:spacing w:line="360" w:lineRule="exact"/>
        <w:jc w:val="left"/>
        <w:rPr>
          <w:rFonts w:hint="default"/>
          <w:color w:val="000000" w:themeColor="text1"/>
        </w:rPr>
      </w:pPr>
      <w:r>
        <w:rPr>
          <w:rFonts w:hint="eastAsia"/>
          <w:color w:val="000000" w:themeColor="text1"/>
          <w:kern w:val="0"/>
        </w:rPr>
        <w:t>障害のある人の自己実現を図り、社会参加を促していくためには、就労を促進していく必要があります。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65"/>
        </w:numPr>
        <w:autoSpaceDE w:val="0"/>
        <w:autoSpaceDN w:val="0"/>
        <w:adjustRightInd w:val="0"/>
        <w:spacing w:line="360" w:lineRule="exact"/>
        <w:jc w:val="left"/>
        <w:rPr>
          <w:rFonts w:hint="default"/>
        </w:rPr>
      </w:pPr>
      <w:r>
        <w:rPr>
          <w:rFonts w:hint="eastAsia"/>
          <w:color w:val="000000" w:themeColor="text1"/>
          <w:kern w:val="0"/>
        </w:rPr>
        <w:t>「障害のある方の実態調査」（</w:t>
      </w:r>
      <w:r>
        <w:rPr>
          <w:rFonts w:hint="eastAsia"/>
          <w:color w:val="000000" w:themeColor="text1"/>
          <w:kern w:val="0"/>
        </w:rPr>
        <w:t>2020</w:t>
      </w:r>
      <w:r>
        <w:rPr>
          <w:rFonts w:hint="eastAsia"/>
          <w:color w:val="000000" w:themeColor="text1"/>
          <w:kern w:val="0"/>
        </w:rPr>
        <w:t>年度）によると、現在仕事をしている人は</w:t>
      </w:r>
      <w:r>
        <w:rPr>
          <w:rFonts w:hint="eastAsia"/>
          <w:color w:val="000000" w:themeColor="text1"/>
          <w:kern w:val="0"/>
        </w:rPr>
        <w:t>27.8</w:t>
      </w:r>
      <w:r>
        <w:rPr>
          <w:rFonts w:hint="eastAsia"/>
          <w:color w:val="000000" w:themeColor="text1"/>
          <w:kern w:val="0"/>
        </w:rPr>
        <w:t>％おり、うち民間企業等で働く一般就労者は</w:t>
      </w:r>
      <w:r>
        <w:rPr>
          <w:rFonts w:hint="eastAsia"/>
          <w:color w:val="000000" w:themeColor="text1"/>
          <w:kern w:val="0"/>
        </w:rPr>
        <w:t>58.0</w:t>
      </w:r>
      <w:r>
        <w:rPr>
          <w:rFonts w:hint="eastAsia"/>
          <w:color w:val="000000" w:themeColor="text1"/>
          <w:kern w:val="0"/>
        </w:rPr>
        <w:t>％となっています。また、現在仕事をしている人の</w:t>
      </w:r>
      <w:r>
        <w:rPr>
          <w:rFonts w:hint="eastAsia"/>
          <w:color w:val="000000" w:themeColor="text1"/>
          <w:kern w:val="0"/>
        </w:rPr>
        <w:t>17.3</w:t>
      </w:r>
      <w:r>
        <w:rPr>
          <w:rFonts w:hint="eastAsia"/>
          <w:color w:val="000000" w:themeColor="text1"/>
          <w:kern w:val="0"/>
        </w:rPr>
        <w:t>％が公共職業安定所（ハローワーク）で仕事を見つけているほか、学校の紹介が</w:t>
      </w:r>
      <w:r>
        <w:rPr>
          <w:rFonts w:hint="eastAsia"/>
          <w:color w:val="000000" w:themeColor="text1"/>
          <w:kern w:val="0"/>
        </w:rPr>
        <w:t>17.2</w:t>
      </w:r>
      <w:r>
        <w:rPr>
          <w:rFonts w:hint="eastAsia"/>
          <w:color w:val="000000" w:themeColor="text1"/>
          <w:kern w:val="0"/>
        </w:rPr>
        <w:t>％、家族等の紹介が</w:t>
      </w:r>
      <w:r>
        <w:rPr>
          <w:rFonts w:hint="eastAsia"/>
          <w:color w:val="000000" w:themeColor="text1"/>
          <w:kern w:val="0"/>
        </w:rPr>
        <w:t>15.6</w:t>
      </w:r>
      <w:r>
        <w:rPr>
          <w:rFonts w:hint="eastAsia"/>
          <w:color w:val="000000" w:themeColor="text1"/>
          <w:kern w:val="0"/>
        </w:rPr>
        <w:t>％</w:t>
      </w:r>
      <w:r>
        <w:rPr>
          <w:rFonts w:hint="eastAsia"/>
          <w:kern w:val="0"/>
        </w:rPr>
        <w:t>と就労に至る手段は、多岐にわたっています。このことから就労支援を充実するためには、関係機関の連携を図ることが重要です。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rPr>
      </w:pPr>
      <w:r>
        <w:rPr>
          <w:rFonts w:hint="eastAsia"/>
          <w:kern w:val="0"/>
        </w:rPr>
        <w:t>障害のある人が一般就労するためには、就労相談支援とともに就労訓練等の充実を図っていくことが必要です。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spacing w:line="360" w:lineRule="exact"/>
        <w:ind w:firstLine="240" w:firstLineChars="100"/>
        <w:rPr>
          <w:rFonts w:hint="default" w:ascii="ＭＳ ゴシック" w:hAnsi="ＭＳ ゴシック" w:eastAsia="ＭＳ ゴシック"/>
          <w:color w:val="000000" w:themeColor="text1"/>
        </w:rPr>
      </w:pPr>
      <w:r>
        <w:rPr>
          <w:rFonts w:hint="eastAsia" w:ascii="ＭＳ ゴシック" w:hAnsi="ＭＳ ゴシック" w:eastAsia="ＭＳ ゴシック"/>
        </w:rPr>
        <w:t>ア　</w:t>
      </w:r>
      <w:r>
        <w:rPr>
          <w:rFonts w:hint="eastAsia" w:ascii="ＭＳ ゴシック" w:hAnsi="ＭＳ ゴシック" w:eastAsia="ＭＳ ゴシック"/>
          <w:color w:val="000000" w:themeColor="text1"/>
        </w:rPr>
        <w:t>就労に向けた支援の充実</w:t>
      </w:r>
    </w:p>
    <w:p>
      <w:pPr>
        <w:pStyle w:val="0"/>
        <w:numPr>
          <w:ilvl w:val="0"/>
          <w:numId w:val="66"/>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kern w:val="0"/>
        </w:rPr>
        <w:t>障害者就労施設、</w:t>
      </w:r>
      <w:r>
        <w:rPr>
          <w:rFonts w:hint="eastAsia"/>
          <w:color w:val="000000" w:themeColor="text1"/>
          <w:kern w:val="0"/>
          <w:highlight w:val="none"/>
          <w:u w:val="none" w:color="auto"/>
        </w:rPr>
        <w:t>相談支援事業所</w:t>
      </w:r>
      <w:r>
        <w:rPr>
          <w:rFonts w:hint="eastAsia"/>
          <w:color w:val="000000" w:themeColor="text1"/>
          <w:kern w:val="0"/>
        </w:rPr>
        <w:t>、特別支援学校</w:t>
      </w:r>
      <w:r>
        <w:rPr>
          <w:rFonts w:hint="eastAsia"/>
          <w:spacing w:val="-4"/>
          <w:kern w:val="0"/>
          <w:vertAlign w:val="superscript"/>
        </w:rPr>
        <w:t>＊</w:t>
      </w:r>
      <w:r>
        <w:rPr>
          <w:rFonts w:hint="eastAsia"/>
          <w:color w:val="000000" w:themeColor="text1"/>
          <w:kern w:val="0"/>
        </w:rPr>
        <w:t>、企業等の連携を強化し、障害者就労施設等や特別支援学校等から一般就労への移行が円滑に進むよう、一人ひとりの適性に応じた職場開拓や職場実習など、就労に向けた支援体制の充実を図ります。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r>
        <w:rPr>
          <w:rFonts w:hint="eastAsia"/>
          <w:color w:val="000000" w:themeColor="text1"/>
          <w:spacing w:val="-4"/>
          <w:kern w:val="0"/>
          <w:sz w:val="16"/>
        </w:rPr>
        <w:t>、</w:t>
      </w:r>
      <w:r>
        <w:rPr>
          <w:rFonts w:hint="eastAsia"/>
          <w:color w:val="000000" w:themeColor="text1"/>
          <w:sz w:val="16"/>
        </w:rPr>
        <w:t>[</w:t>
      </w:r>
      <w:r>
        <w:rPr>
          <w:rFonts w:hint="eastAsia"/>
          <w:color w:val="000000" w:themeColor="text1"/>
          <w:sz w:val="16"/>
        </w:rPr>
        <w:t>経済産業部就業支援局</w:t>
      </w:r>
      <w:r>
        <w:rPr>
          <w:rFonts w:hint="eastAsia"/>
          <w:color w:val="000000" w:themeColor="text1"/>
          <w:sz w:val="16"/>
        </w:rPr>
        <w:t>]</w:t>
      </w:r>
      <w:r>
        <w:rPr>
          <w:rFonts w:hint="eastAsia"/>
          <w:color w:val="000000" w:themeColor="text1"/>
          <w:sz w:val="16"/>
        </w:rPr>
        <w:t>、</w:t>
      </w:r>
      <w:r>
        <w:rPr>
          <w:rFonts w:hint="eastAsia"/>
          <w:color w:val="000000" w:themeColor="text1"/>
          <w:sz w:val="16"/>
        </w:rPr>
        <w:t>[</w:t>
      </w:r>
      <w:r>
        <w:rPr>
          <w:rFonts w:hint="eastAsia"/>
          <w:color w:val="000000" w:themeColor="text1"/>
          <w:sz w:val="16"/>
        </w:rPr>
        <w:t>教育委員会</w:t>
      </w:r>
      <w:r>
        <w:rPr>
          <w:rFonts w:hint="eastAsia"/>
          <w:color w:val="000000" w:themeColor="text1"/>
          <w:sz w:val="16"/>
        </w:rPr>
        <w:t>]</w:t>
      </w:r>
    </w:p>
    <w:p>
      <w:pPr>
        <w:pStyle w:val="0"/>
        <w:autoSpaceDE w:val="0"/>
        <w:autoSpaceDN w:val="0"/>
        <w:adjustRightInd w:val="0"/>
        <w:spacing w:line="360" w:lineRule="exact"/>
        <w:ind w:left="868"/>
        <w:jc w:val="left"/>
        <w:rPr>
          <w:rFonts w:hint="default"/>
          <w:color w:val="000000" w:themeColor="text1"/>
          <w:spacing w:val="-4"/>
          <w:kern w:val="0"/>
          <w:sz w:val="16"/>
        </w:rPr>
      </w:pPr>
    </w:p>
    <w:p>
      <w:pPr>
        <w:pStyle w:val="0"/>
        <w:numPr>
          <w:ilvl w:val="0"/>
          <w:numId w:val="66"/>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kern w:val="0"/>
        </w:rPr>
        <w:t>障害のある人や企業等からの就労に関する相談に対応するため、障害者働く幸せ創出センター</w:t>
      </w:r>
      <w:r>
        <w:rPr>
          <w:rFonts w:hint="eastAsia"/>
          <w:color w:val="000000" w:themeColor="text1"/>
          <w:spacing w:val="-4"/>
          <w:kern w:val="0"/>
          <w:vertAlign w:val="superscript"/>
        </w:rPr>
        <w:t>＊</w:t>
      </w:r>
      <w:r>
        <w:rPr>
          <w:rFonts w:hint="eastAsia"/>
          <w:color w:val="000000" w:themeColor="text1"/>
          <w:kern w:val="0"/>
        </w:rPr>
        <w:t>に就労相談員を配置します。</w:t>
      </w:r>
      <w:r>
        <w:rPr>
          <w:rFonts w:hint="eastAsia"/>
          <w:color w:val="000000" w:themeColor="text1"/>
          <w:sz w:val="16"/>
        </w:rPr>
        <w:t>[</w:t>
      </w:r>
      <w:r>
        <w:rPr>
          <w:rFonts w:hint="eastAsia"/>
          <w:color w:val="000000" w:themeColor="text1"/>
          <w:sz w:val="16"/>
        </w:rPr>
        <w:t>経済産業部就業支援局</w:t>
      </w:r>
      <w:r>
        <w:rPr>
          <w:rFonts w:hint="eastAsia"/>
          <w:color w:val="000000" w:themeColor="text1"/>
          <w:sz w:val="16"/>
        </w:rPr>
        <w:t>]</w:t>
      </w:r>
    </w:p>
    <w:p>
      <w:pPr>
        <w:pStyle w:val="0"/>
        <w:autoSpaceDE w:val="0"/>
        <w:autoSpaceDN w:val="0"/>
        <w:adjustRightInd w:val="0"/>
        <w:spacing w:line="360" w:lineRule="exact"/>
        <w:ind w:left="868"/>
        <w:jc w:val="left"/>
        <w:rPr>
          <w:rFonts w:hint="default"/>
          <w:color w:val="000000" w:themeColor="text1"/>
          <w:spacing w:val="-4"/>
          <w:kern w:val="0"/>
          <w:sz w:val="16"/>
        </w:rPr>
      </w:pPr>
    </w:p>
    <w:p>
      <w:pPr>
        <w:pStyle w:val="0"/>
        <w:numPr>
          <w:ilvl w:val="0"/>
          <w:numId w:val="66"/>
        </w:numPr>
        <w:autoSpaceDE w:val="0"/>
        <w:autoSpaceDN w:val="0"/>
        <w:adjustRightInd w:val="0"/>
        <w:spacing w:line="360" w:lineRule="exact"/>
        <w:jc w:val="left"/>
        <w:rPr>
          <w:rFonts w:hint="default"/>
          <w:spacing w:val="-4"/>
          <w:kern w:val="0"/>
          <w:sz w:val="16"/>
        </w:rPr>
      </w:pPr>
      <w:r>
        <w:rPr>
          <w:rFonts w:hint="eastAsia"/>
          <w:color w:val="000000" w:themeColor="text1"/>
          <w:kern w:val="0"/>
        </w:rPr>
        <w:t>就労を促進し、継続していくために、就業面及び生活面を一体的に支援する障害者就業・生活支援センター</w:t>
      </w:r>
      <w:r>
        <w:rPr>
          <w:rFonts w:hint="eastAsia"/>
          <w:color w:val="000000" w:themeColor="text1"/>
          <w:spacing w:val="-4"/>
          <w:kern w:val="0"/>
          <w:vertAlign w:val="superscript"/>
        </w:rPr>
        <w:t>＊</w:t>
      </w:r>
      <w:r>
        <w:rPr>
          <w:rFonts w:hint="eastAsia"/>
          <w:color w:val="000000" w:themeColor="text1"/>
          <w:kern w:val="0"/>
        </w:rPr>
        <w:t>の整備や職場適応援助者（県</w:t>
      </w:r>
      <w:r>
        <w:rPr>
          <w:rFonts w:hint="eastAsia"/>
          <w:kern w:val="0"/>
        </w:rPr>
        <w:t>ジョブコーチ）</w:t>
      </w:r>
      <w:r>
        <w:rPr>
          <w:rFonts w:hint="eastAsia"/>
          <w:spacing w:val="-4"/>
          <w:kern w:val="0"/>
          <w:vertAlign w:val="superscript"/>
        </w:rPr>
        <w:t>＊</w:t>
      </w:r>
      <w:r>
        <w:rPr>
          <w:rFonts w:hint="eastAsia"/>
          <w:kern w:val="0"/>
        </w:rPr>
        <w:t>による人的支援など就労から職場定着・再就職までの相談・援助体制の充実を図ります。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r>
        <w:rPr>
          <w:rFonts w:hint="eastAsia"/>
          <w:spacing w:val="-4"/>
          <w:kern w:val="0"/>
          <w:sz w:val="16"/>
        </w:rPr>
        <w:t>、</w:t>
      </w:r>
      <w:r>
        <w:rPr>
          <w:rFonts w:hint="eastAsia"/>
          <w:sz w:val="16"/>
        </w:rPr>
        <w:t>[</w:t>
      </w:r>
      <w:r>
        <w:rPr>
          <w:rFonts w:hint="eastAsia"/>
          <w:sz w:val="16"/>
        </w:rPr>
        <w:t>経済産業部就業支援局</w:t>
      </w:r>
      <w:r>
        <w:rPr>
          <w:rFonts w:hint="eastAsia"/>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66"/>
        </w:numPr>
        <w:autoSpaceDE w:val="0"/>
        <w:autoSpaceDN w:val="0"/>
        <w:adjustRightInd w:val="0"/>
        <w:spacing w:line="360" w:lineRule="exact"/>
        <w:jc w:val="left"/>
        <w:rPr>
          <w:rFonts w:hint="default"/>
          <w:spacing w:val="-4"/>
          <w:kern w:val="0"/>
          <w:sz w:val="16"/>
        </w:rPr>
      </w:pPr>
      <w:r>
        <w:rPr>
          <w:rFonts w:hint="eastAsia"/>
          <w:kern w:val="0"/>
        </w:rPr>
        <w:t>障害のある人の一般就労を進めるため、静岡労働局、公共職業安定所（ハローワーク）と連携し、障害者就労施設等利用者の公共職業安定所経由による就職を促進します。</w:t>
      </w:r>
      <w:r>
        <w:rPr>
          <w:rFonts w:hint="eastAsia"/>
          <w:sz w:val="16"/>
        </w:rPr>
        <w:t>[</w:t>
      </w:r>
      <w:r>
        <w:rPr>
          <w:rFonts w:hint="eastAsia"/>
          <w:kern w:val="0"/>
          <w:sz w:val="16"/>
        </w:rPr>
        <w:t>健康福祉部障害者支援局</w:t>
      </w:r>
      <w:r>
        <w:rPr>
          <w:rFonts w:hint="eastAsia"/>
          <w:kern w:val="0"/>
          <w:sz w:val="16"/>
        </w:rPr>
        <w:t>]</w:t>
      </w:r>
      <w:r>
        <w:rPr>
          <w:rFonts w:hint="eastAsia"/>
          <w:kern w:val="0"/>
          <w:sz w:val="16"/>
        </w:rPr>
        <w:t>、</w:t>
      </w:r>
      <w:r>
        <w:rPr>
          <w:rFonts w:hint="eastAsia"/>
          <w:sz w:val="16"/>
        </w:rPr>
        <w:t>[</w:t>
      </w:r>
      <w:r>
        <w:rPr>
          <w:rFonts w:hint="eastAsia"/>
          <w:sz w:val="16"/>
        </w:rPr>
        <w:t>経済産業部就業支援局</w:t>
      </w:r>
      <w:r>
        <w:rPr>
          <w:rFonts w:hint="eastAsia"/>
          <w:sz w:val="16"/>
        </w:rPr>
        <w:t>]</w:t>
      </w:r>
    </w:p>
    <w:p>
      <w:pPr>
        <w:pStyle w:val="0"/>
        <w:autoSpaceDE w:val="0"/>
        <w:autoSpaceDN w:val="0"/>
        <w:adjustRightInd w:val="0"/>
        <w:spacing w:line="360" w:lineRule="exact"/>
        <w:ind w:left="868"/>
        <w:jc w:val="left"/>
        <w:rPr>
          <w:rFonts w:hint="default"/>
          <w:spacing w:val="-4"/>
          <w:kern w:val="0"/>
          <w:sz w:val="16"/>
        </w:rPr>
      </w:pPr>
    </w:p>
    <w:p>
      <w:pPr>
        <w:pStyle w:val="0"/>
        <w:spacing w:line="360" w:lineRule="exact"/>
        <w:ind w:firstLine="240" w:firstLineChars="100"/>
        <w:rPr>
          <w:rFonts w:hint="default" w:ascii="ＭＳ ゴシック" w:hAnsi="ＭＳ ゴシック" w:eastAsia="ＭＳ ゴシック"/>
          <w:color w:val="000000" w:themeColor="text1"/>
        </w:rPr>
      </w:pPr>
      <w:r>
        <w:rPr>
          <w:rFonts w:hint="eastAsia" w:ascii="ＭＳ ゴシック" w:hAnsi="ＭＳ ゴシック" w:eastAsia="ＭＳ ゴシック"/>
        </w:rPr>
        <w:t>イ　</w:t>
      </w:r>
      <w:r>
        <w:rPr>
          <w:rFonts w:hint="eastAsia" w:ascii="ＭＳ ゴシック" w:hAnsi="ＭＳ ゴシック" w:eastAsia="ＭＳ ゴシック"/>
          <w:color w:val="000000" w:themeColor="text1"/>
        </w:rPr>
        <w:t>職業能力開発の充実</w:t>
      </w:r>
    </w:p>
    <w:p>
      <w:pPr>
        <w:pStyle w:val="0"/>
        <w:numPr>
          <w:ilvl w:val="0"/>
          <w:numId w:val="67"/>
        </w:numPr>
        <w:autoSpaceDE w:val="0"/>
        <w:autoSpaceDN w:val="0"/>
        <w:adjustRightInd w:val="0"/>
        <w:spacing w:line="360" w:lineRule="exact"/>
        <w:jc w:val="left"/>
        <w:rPr>
          <w:rFonts w:hint="default"/>
          <w:spacing w:val="-4"/>
          <w:kern w:val="0"/>
          <w:sz w:val="16"/>
        </w:rPr>
      </w:pPr>
      <w:r>
        <w:rPr>
          <w:rFonts w:hint="eastAsia"/>
          <w:color w:val="000000" w:themeColor="text1"/>
          <w:kern w:val="0"/>
        </w:rPr>
        <w:t>あしたか職業訓練校、工科短期大学校及び浜松</w:t>
      </w:r>
      <w:r>
        <w:rPr>
          <w:rFonts w:hint="eastAsia"/>
          <w:kern w:val="0"/>
        </w:rPr>
        <w:t>技術専門校において、職業訓練を実施し、障害のある人の一般就労を図</w:t>
      </w:r>
      <w:r>
        <w:rPr>
          <w:rFonts w:hint="eastAsia"/>
          <w:color w:val="auto"/>
          <w:kern w:val="0"/>
        </w:rPr>
        <w:t>るとともに、在職中の方に対しては、雇用継続に資する知識・技能の付与を目的とした在職者訓練を実施し、職場定着を支援します。</w:t>
      </w:r>
      <w:r>
        <w:rPr>
          <w:rFonts w:hint="eastAsia"/>
          <w:sz w:val="16"/>
        </w:rPr>
        <w:t>[</w:t>
      </w:r>
      <w:r>
        <w:rPr>
          <w:rFonts w:hint="eastAsia"/>
          <w:sz w:val="16"/>
        </w:rPr>
        <w:t>経済産業部就業支援局</w:t>
      </w:r>
      <w:r>
        <w:rPr>
          <w:rFonts w:hint="eastAsia"/>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67"/>
        </w:numPr>
        <w:autoSpaceDE w:val="0"/>
        <w:autoSpaceDN w:val="0"/>
        <w:adjustRightInd w:val="0"/>
        <w:spacing w:line="360" w:lineRule="exact"/>
        <w:jc w:val="left"/>
        <w:rPr>
          <w:rFonts w:hint="default"/>
          <w:spacing w:val="-4"/>
          <w:kern w:val="0"/>
          <w:sz w:val="16"/>
        </w:rPr>
      </w:pPr>
      <w:r>
        <w:rPr>
          <w:rFonts w:hint="eastAsia"/>
          <w:kern w:val="0"/>
        </w:rPr>
        <w:t>障害のある人の適性や希望に応じた、職場適応訓練を実施します。</w:t>
      </w:r>
      <w:r>
        <w:rPr>
          <w:rFonts w:hint="eastAsia"/>
          <w:sz w:val="16"/>
        </w:rPr>
        <w:t>[</w:t>
      </w:r>
      <w:r>
        <w:rPr>
          <w:rFonts w:hint="eastAsia"/>
          <w:sz w:val="16"/>
        </w:rPr>
        <w:t>経済産業部就業支援局</w:t>
      </w:r>
      <w:r>
        <w:rPr>
          <w:rFonts w:hint="eastAsia"/>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67"/>
        </w:numPr>
        <w:autoSpaceDE w:val="0"/>
        <w:autoSpaceDN w:val="0"/>
        <w:adjustRightInd w:val="0"/>
        <w:spacing w:line="360" w:lineRule="exact"/>
        <w:jc w:val="left"/>
        <w:rPr>
          <w:rFonts w:hint="default"/>
          <w:spacing w:val="-4"/>
          <w:kern w:val="0"/>
          <w:sz w:val="16"/>
        </w:rPr>
      </w:pPr>
      <w:r>
        <w:rPr>
          <w:rFonts w:hint="eastAsia"/>
          <w:kern w:val="0"/>
        </w:rPr>
        <w:t>全国障害者技能競技大会（アビリンピック）</w:t>
      </w:r>
      <w:r>
        <w:rPr>
          <w:rFonts w:hint="eastAsia"/>
          <w:spacing w:val="-4"/>
          <w:kern w:val="0"/>
          <w:vertAlign w:val="superscript"/>
        </w:rPr>
        <w:t>＊</w:t>
      </w:r>
      <w:r>
        <w:rPr>
          <w:rFonts w:hint="eastAsia"/>
          <w:kern w:val="0"/>
        </w:rPr>
        <w:t>への参加を通じて、障害のある人の職業能力の向上や社会活動への参加、就業を促進します。</w:t>
      </w:r>
      <w:r>
        <w:rPr>
          <w:rFonts w:hint="eastAsia"/>
          <w:sz w:val="16"/>
        </w:rPr>
        <w:t>[</w:t>
      </w:r>
      <w:r>
        <w:rPr>
          <w:rFonts w:hint="eastAsia"/>
          <w:sz w:val="16"/>
        </w:rPr>
        <w:t>経済産業部就業支援局</w:t>
      </w:r>
      <w:r>
        <w:rPr>
          <w:rFonts w:hint="eastAsia"/>
          <w:sz w:val="16"/>
        </w:rPr>
        <w:t>]</w:t>
      </w:r>
    </w:p>
    <w:p>
      <w:pPr>
        <w:pStyle w:val="0"/>
        <w:ind w:left="482" w:hanging="482" w:hangingChars="200"/>
        <w:rPr>
          <w:rFonts w:hint="default" w:ascii="ＭＳ ゴシック" w:hAnsi="ＭＳ ゴシック" w:eastAsia="ＭＳ ゴシック"/>
          <w:b w:val="1"/>
        </w:rPr>
      </w:pPr>
    </w:p>
    <w:p>
      <w:pPr>
        <w:pStyle w:val="0"/>
        <w:outlineLvl w:val="2"/>
        <w:rPr>
          <w:rFonts w:hint="default" w:ascii="ＭＳ ゴシック" w:hAnsi="ＭＳ ゴシック" w:eastAsia="ＭＳ ゴシック"/>
          <w:color w:val="000000" w:themeColor="text1"/>
        </w:rPr>
      </w:pPr>
      <w:bookmarkStart w:id="111" w:name="_Toc503474069"/>
      <w:r>
        <w:rPr>
          <w:rFonts w:hint="eastAsia" w:ascii="ＭＳ ゴシック" w:hAnsi="ＭＳ ゴシック" w:eastAsia="ＭＳ ゴシック"/>
        </w:rPr>
        <w:t>（２）</w:t>
      </w:r>
      <w:bookmarkEnd w:id="111"/>
      <w:r>
        <w:rPr>
          <w:rFonts w:hint="eastAsia" w:ascii="ＭＳ ゴシック" w:hAnsi="ＭＳ ゴシック" w:eastAsia="ＭＳ ゴシック"/>
          <w:color w:val="000000" w:themeColor="text1"/>
        </w:rPr>
        <w:t>障害のある人の雇用の推進</w:t>
      </w:r>
    </w:p>
    <w:p>
      <w:pPr>
        <w:pStyle w:val="0"/>
        <w:rPr>
          <w:rFonts w:hint="default"/>
          <w:color w:val="000000" w:themeColor="text1"/>
        </w:rPr>
      </w:pPr>
      <w:r>
        <w:rPr>
          <w:rFonts w:hint="eastAsia" w:ascii="ＭＳ ゴシック" w:hAnsi="ＭＳ ゴシック" w:eastAsia="ＭＳ ゴシック"/>
          <w:color w:val="000000" w:themeColor="text1"/>
        </w:rPr>
        <w:t>【現状と課題】</w:t>
      </w:r>
    </w:p>
    <w:p>
      <w:pPr>
        <w:pStyle w:val="0"/>
        <w:numPr>
          <w:ilvl w:val="0"/>
          <w:numId w:val="36"/>
        </w:numPr>
        <w:autoSpaceDE w:val="0"/>
        <w:autoSpaceDN w:val="0"/>
        <w:adjustRightInd w:val="0"/>
        <w:spacing w:line="360" w:lineRule="exact"/>
        <w:jc w:val="left"/>
        <w:rPr>
          <w:rFonts w:hint="default"/>
          <w:color w:val="000000" w:themeColor="text1"/>
        </w:rPr>
      </w:pPr>
      <w:r>
        <w:rPr>
          <w:rFonts w:hint="eastAsia"/>
          <w:color w:val="000000" w:themeColor="text1"/>
          <w:kern w:val="0"/>
        </w:rPr>
        <w:t>障害者の雇用の促進等に関する法律では事業主に対して雇用する労働者に占める障害のある人の割合（法定雇用率）が義務付けられています。</w:t>
      </w:r>
    </w:p>
    <w:p>
      <w:pPr>
        <w:pStyle w:val="0"/>
        <w:numPr>
          <w:ilvl w:val="0"/>
          <w:numId w:val="36"/>
        </w:numPr>
        <w:autoSpaceDE w:val="0"/>
        <w:autoSpaceDN w:val="0"/>
        <w:adjustRightInd w:val="0"/>
        <w:spacing w:line="360" w:lineRule="exact"/>
        <w:jc w:val="left"/>
        <w:rPr>
          <w:rFonts w:hint="default"/>
          <w:color w:val="000000" w:themeColor="text1"/>
        </w:rPr>
      </w:pPr>
      <w:r>
        <w:rPr>
          <w:rFonts w:hint="eastAsia"/>
          <w:color w:val="auto"/>
        </w:rPr>
        <w:t>2021</w:t>
      </w:r>
      <w:r>
        <w:rPr>
          <w:rFonts w:hint="eastAsia"/>
          <w:color w:val="auto"/>
        </w:rPr>
        <w:t>年の民間企業における障害者雇用率（毎年６月１日現在）は、過去最高の</w:t>
      </w:r>
      <w:r>
        <w:rPr>
          <w:rFonts w:hint="eastAsia"/>
          <w:color w:val="auto"/>
        </w:rPr>
        <w:t>2.28</w:t>
      </w:r>
      <w:r>
        <w:rPr>
          <w:rFonts w:hint="eastAsia"/>
          <w:color w:val="auto"/>
        </w:rPr>
        <w:t>％となりましたが、</w:t>
      </w:r>
      <w:r>
        <w:rPr>
          <w:rFonts w:hint="eastAsia"/>
          <w:color w:val="auto"/>
        </w:rPr>
        <w:t>2021</w:t>
      </w:r>
      <w:r>
        <w:rPr>
          <w:rFonts w:hint="eastAsia"/>
          <w:color w:val="auto"/>
        </w:rPr>
        <w:t>年３月に引き上げられた法定雇用率</w:t>
      </w:r>
      <w:r>
        <w:rPr>
          <w:rFonts w:hint="eastAsia"/>
          <w:color w:val="auto"/>
        </w:rPr>
        <w:t>2.3</w:t>
      </w:r>
      <w:r>
        <w:rPr>
          <w:rFonts w:hint="eastAsia"/>
          <w:color w:val="auto"/>
        </w:rPr>
        <w:t>％には届きませんでした。そのため、法定雇用率達成に向け、就労支援と定着支援の体制を強化する必要があります。</w:t>
      </w:r>
    </w:p>
    <w:p>
      <w:pPr>
        <w:pStyle w:val="0"/>
        <w:numPr>
          <w:ilvl w:val="0"/>
          <w:numId w:val="36"/>
        </w:numPr>
        <w:autoSpaceDE w:val="0"/>
        <w:autoSpaceDN w:val="0"/>
        <w:adjustRightInd w:val="0"/>
        <w:spacing w:line="360" w:lineRule="exact"/>
        <w:jc w:val="left"/>
        <w:rPr>
          <w:rFonts w:hint="default"/>
        </w:rPr>
      </w:pPr>
      <w:r>
        <w:rPr>
          <w:rFonts w:hint="eastAsia"/>
          <w:color w:val="000000" w:themeColor="text1"/>
        </w:rPr>
        <w:t>就労を希望する精神障害や発達障害</w:t>
      </w:r>
      <w:r>
        <w:rPr>
          <w:rFonts w:hint="eastAsia"/>
          <w:spacing w:val="-4"/>
          <w:kern w:val="0"/>
          <w:vertAlign w:val="superscript"/>
        </w:rPr>
        <w:t>＊</w:t>
      </w:r>
      <w:r>
        <w:rPr>
          <w:rFonts w:hint="eastAsia"/>
          <w:color w:val="000000" w:themeColor="text1"/>
        </w:rPr>
        <w:t>のある人が増加している状況を踏まえ、企業等が精神障害・発達障害に対する理解を深め、雇用できる環境づくりを進めていく必要があります。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numPr>
          <w:ilvl w:val="0"/>
          <w:numId w:val="68"/>
        </w:numPr>
        <w:autoSpaceDE w:val="0"/>
        <w:autoSpaceDN w:val="0"/>
        <w:adjustRightInd w:val="0"/>
        <w:spacing w:line="360" w:lineRule="exact"/>
        <w:jc w:val="left"/>
        <w:rPr>
          <w:rFonts w:hint="default"/>
          <w:color w:val="000000" w:themeColor="text1"/>
          <w:sz w:val="16"/>
        </w:rPr>
      </w:pPr>
      <w:r>
        <w:rPr>
          <w:rFonts w:hint="eastAsia"/>
          <w:kern w:val="0"/>
        </w:rPr>
        <w:t>民間企業等で障害のある人の新たな雇用を創出するため、障害者雇用推進コーディネーターを</w:t>
      </w:r>
      <w:r>
        <w:rPr>
          <w:rFonts w:hint="eastAsia"/>
          <w:color w:val="000000" w:themeColor="text1"/>
          <w:kern w:val="0"/>
        </w:rPr>
        <w:t>配置し、障害のある人一人ひとりの実情を踏まえた求人開拓や、職場内の受入体制等についての助言を行うとともに、</w:t>
      </w:r>
      <w:r>
        <w:rPr>
          <w:rFonts w:hint="eastAsia"/>
          <w:strike w:val="0"/>
          <w:dstrike w:val="0"/>
          <w:color w:val="auto"/>
          <w:kern w:val="0"/>
        </w:rPr>
        <w:t>障害のある人の希望や能力に応じた職務を選定する等、障害者雇用における職域の拡大を図ります。</w:t>
      </w:r>
      <w:r>
        <w:rPr>
          <w:rFonts w:hint="eastAsia"/>
          <w:color w:val="auto"/>
          <w:kern w:val="0"/>
        </w:rPr>
        <w:t>また、精神障害のある人の雇用や障害のある人の多様な働き方</w:t>
      </w:r>
      <w:r>
        <w:rPr>
          <w:rFonts w:hint="eastAsia"/>
          <w:color w:val="000000" w:themeColor="text1"/>
          <w:kern w:val="0"/>
        </w:rPr>
        <w:t>を促進するため、アドバイザーを派遣し、企業への障害のある人の雇用に対する理解促進及び職場定着等に対する助言を行います。</w:t>
      </w:r>
      <w:r>
        <w:rPr>
          <w:rFonts w:hint="eastAsia"/>
          <w:color w:val="000000" w:themeColor="text1"/>
          <w:sz w:val="16"/>
        </w:rPr>
        <w:t>[</w:t>
      </w:r>
      <w:r>
        <w:rPr>
          <w:rFonts w:hint="eastAsia"/>
          <w:color w:val="000000" w:themeColor="text1"/>
          <w:sz w:val="16"/>
        </w:rPr>
        <w:t>経済産業部就業支援局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z w:val="16"/>
        </w:rPr>
      </w:pPr>
    </w:p>
    <w:p>
      <w:pPr>
        <w:pStyle w:val="0"/>
        <w:numPr>
          <w:ilvl w:val="0"/>
          <w:numId w:val="68"/>
        </w:numPr>
        <w:autoSpaceDE w:val="0"/>
        <w:autoSpaceDN w:val="0"/>
        <w:adjustRightInd w:val="0"/>
        <w:spacing w:line="360" w:lineRule="exact"/>
        <w:jc w:val="left"/>
        <w:rPr>
          <w:rFonts w:hint="default"/>
          <w:color w:val="000000" w:themeColor="text1"/>
          <w:spacing w:val="-4"/>
          <w:kern w:val="0"/>
        </w:rPr>
      </w:pPr>
      <w:r>
        <w:rPr>
          <w:rFonts w:hint="eastAsia"/>
          <w:color w:val="000000" w:themeColor="text1"/>
          <w:kern w:val="0"/>
        </w:rPr>
        <w:t>障害のある人の雇用を促進するため、障害者雇用に実績のある企業等を障害者就労応援団</w:t>
      </w:r>
      <w:r>
        <w:rPr>
          <w:rFonts w:hint="eastAsia"/>
          <w:color w:val="000000" w:themeColor="text1"/>
          <w:spacing w:val="-4"/>
          <w:kern w:val="0"/>
          <w:vertAlign w:val="superscript"/>
        </w:rPr>
        <w:t>＊</w:t>
      </w:r>
      <w:r>
        <w:rPr>
          <w:rFonts w:hint="eastAsia"/>
          <w:color w:val="000000" w:themeColor="text1"/>
          <w:kern w:val="0"/>
        </w:rPr>
        <w:t>として登録し、これらの企業等を活用してセミナーや見学会を開催します。</w:t>
      </w:r>
      <w:r>
        <w:rPr>
          <w:rFonts w:hint="eastAsia"/>
          <w:color w:val="000000" w:themeColor="text1"/>
          <w:sz w:val="16"/>
        </w:rPr>
        <w:t>[</w:t>
      </w:r>
      <w:r>
        <w:rPr>
          <w:rFonts w:hint="eastAsia"/>
          <w:color w:val="000000" w:themeColor="text1"/>
          <w:sz w:val="16"/>
        </w:rPr>
        <w:t>経済産業部就業支援局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pacing w:val="-4"/>
          <w:kern w:val="0"/>
        </w:rPr>
      </w:pPr>
    </w:p>
    <w:p>
      <w:pPr>
        <w:pStyle w:val="0"/>
        <w:numPr>
          <w:ilvl w:val="0"/>
          <w:numId w:val="68"/>
        </w:numPr>
        <w:autoSpaceDE w:val="0"/>
        <w:autoSpaceDN w:val="0"/>
        <w:adjustRightInd w:val="0"/>
        <w:spacing w:line="360" w:lineRule="exact"/>
        <w:jc w:val="left"/>
        <w:rPr>
          <w:rFonts w:hint="default"/>
          <w:color w:val="000000" w:themeColor="text1"/>
          <w:spacing w:val="-4"/>
          <w:kern w:val="0"/>
        </w:rPr>
      </w:pPr>
      <w:r>
        <w:rPr>
          <w:rFonts w:hint="eastAsia"/>
          <w:color w:val="000000" w:themeColor="text1"/>
          <w:kern w:val="0"/>
        </w:rPr>
        <w:t>障害者雇用促進大会を開催し、優良障害者雇用事業所や優秀勤労障害者の表彰を行うとともに、「障害者雇用企業に対する入札制度」等により、障害のある人を多数雇用する企業等を優遇します。</w:t>
      </w:r>
      <w:r>
        <w:rPr>
          <w:rFonts w:hint="eastAsia"/>
          <w:color w:val="000000" w:themeColor="text1"/>
          <w:sz w:val="16"/>
        </w:rPr>
        <w:t>[</w:t>
      </w:r>
      <w:r>
        <w:rPr>
          <w:rFonts w:hint="eastAsia"/>
          <w:color w:val="000000" w:themeColor="text1"/>
          <w:sz w:val="16"/>
        </w:rPr>
        <w:t>経済産業部就業支援局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pacing w:val="-4"/>
          <w:kern w:val="0"/>
        </w:rPr>
      </w:pPr>
    </w:p>
    <w:p>
      <w:pPr>
        <w:pStyle w:val="0"/>
        <w:numPr>
          <w:ilvl w:val="0"/>
          <w:numId w:val="68"/>
        </w:numPr>
        <w:autoSpaceDE w:val="0"/>
        <w:autoSpaceDN w:val="0"/>
        <w:adjustRightInd w:val="0"/>
        <w:spacing w:line="360" w:lineRule="exact"/>
        <w:jc w:val="left"/>
        <w:rPr>
          <w:rFonts w:hint="default"/>
          <w:color w:val="000000" w:themeColor="text1"/>
          <w:spacing w:val="-4"/>
          <w:kern w:val="0"/>
        </w:rPr>
      </w:pPr>
      <w:r>
        <w:rPr>
          <w:rFonts w:hint="eastAsia"/>
          <w:color w:val="000000" w:themeColor="text1"/>
          <w:kern w:val="0"/>
        </w:rPr>
        <w:t>障害のある人の雇用促進及び安定を図るため、親会社と同一の事業主体として雇用率を算定する特例子会社制度の周知及び普及に向けた支援を行います。</w:t>
      </w:r>
      <w:r>
        <w:rPr>
          <w:rFonts w:hint="eastAsia"/>
          <w:color w:val="000000" w:themeColor="text1"/>
          <w:w w:val="90"/>
          <w:sz w:val="16"/>
        </w:rPr>
        <w:t>[</w:t>
      </w:r>
      <w:r>
        <w:rPr>
          <w:rFonts w:hint="eastAsia"/>
          <w:color w:val="000000" w:themeColor="text1"/>
          <w:w w:val="90"/>
          <w:sz w:val="16"/>
        </w:rPr>
        <w:t>経済産業部就業支援局</w:t>
      </w:r>
      <w:r>
        <w:rPr>
          <w:rFonts w:hint="eastAsia"/>
          <w:color w:val="000000" w:themeColor="text1"/>
          <w:w w:val="90"/>
          <w:sz w:val="16"/>
        </w:rPr>
        <w:t>]</w:t>
      </w:r>
    </w:p>
    <w:p>
      <w:pPr>
        <w:pStyle w:val="0"/>
        <w:numPr>
          <w:ilvl w:val="0"/>
          <w:numId w:val="68"/>
        </w:numPr>
        <w:autoSpaceDE w:val="0"/>
        <w:autoSpaceDN w:val="0"/>
        <w:adjustRightInd w:val="0"/>
        <w:spacing w:line="360" w:lineRule="exact"/>
        <w:jc w:val="left"/>
        <w:rPr>
          <w:rFonts w:hint="default"/>
          <w:color w:val="000000" w:themeColor="text1"/>
          <w:spacing w:val="-4"/>
          <w:kern w:val="0"/>
        </w:rPr>
      </w:pPr>
      <w:r>
        <w:rPr>
          <w:rFonts w:hint="eastAsia"/>
          <w:color w:val="000000" w:themeColor="text1"/>
          <w:kern w:val="0"/>
        </w:rPr>
        <w:t>静岡労働局と連携し、事業主に対して、職場適応援助者（ジョブコーチ）</w:t>
      </w:r>
      <w:r>
        <w:rPr>
          <w:rFonts w:hint="eastAsia"/>
          <w:color w:val="000000" w:themeColor="text1"/>
          <w:spacing w:val="-4"/>
          <w:kern w:val="0"/>
          <w:vertAlign w:val="superscript"/>
        </w:rPr>
        <w:t>＊</w:t>
      </w:r>
      <w:r>
        <w:rPr>
          <w:rFonts w:hint="eastAsia"/>
          <w:color w:val="000000" w:themeColor="text1"/>
          <w:kern w:val="0"/>
        </w:rPr>
        <w:t>制度、障害者試行雇用（トライアル雇用）</w:t>
      </w:r>
      <w:r>
        <w:rPr>
          <w:rFonts w:hint="eastAsia"/>
          <w:color w:val="000000" w:themeColor="text1"/>
          <w:spacing w:val="-4"/>
          <w:kern w:val="0"/>
          <w:vertAlign w:val="superscript"/>
        </w:rPr>
        <w:t>＊</w:t>
      </w:r>
      <w:r>
        <w:rPr>
          <w:rFonts w:hint="eastAsia"/>
          <w:color w:val="000000" w:themeColor="text1"/>
          <w:kern w:val="0"/>
        </w:rPr>
        <w:t>制度や障害のある人の雇用に係るその他の各種助成金制度の周知・普及を図り、雇用促進に努めます。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r>
        <w:rPr>
          <w:rFonts w:hint="eastAsia"/>
          <w:color w:val="000000" w:themeColor="text1"/>
          <w:spacing w:val="-4"/>
          <w:kern w:val="0"/>
          <w:sz w:val="16"/>
        </w:rPr>
        <w:t>、</w:t>
      </w:r>
      <w:r>
        <w:rPr>
          <w:rFonts w:hint="eastAsia"/>
          <w:color w:val="000000" w:themeColor="text1"/>
          <w:sz w:val="16"/>
        </w:rPr>
        <w:t>[</w:t>
      </w:r>
      <w:r>
        <w:rPr>
          <w:rFonts w:hint="eastAsia"/>
          <w:color w:val="000000" w:themeColor="text1"/>
          <w:sz w:val="16"/>
        </w:rPr>
        <w:t>経済産業部就業支援局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pacing w:val="-4"/>
          <w:kern w:val="0"/>
        </w:rPr>
      </w:pPr>
    </w:p>
    <w:p>
      <w:pPr>
        <w:pStyle w:val="0"/>
        <w:numPr>
          <w:ilvl w:val="0"/>
          <w:numId w:val="68"/>
        </w:numPr>
        <w:autoSpaceDE w:val="0"/>
        <w:autoSpaceDN w:val="0"/>
        <w:adjustRightInd w:val="0"/>
        <w:spacing w:line="360" w:lineRule="exact"/>
        <w:jc w:val="left"/>
        <w:rPr>
          <w:rFonts w:hint="default"/>
          <w:color w:val="000000" w:themeColor="text1"/>
        </w:rPr>
      </w:pPr>
      <w:r>
        <w:rPr>
          <w:rFonts w:hint="eastAsia"/>
          <w:color w:val="000000" w:themeColor="text1"/>
          <w:kern w:val="0"/>
        </w:rPr>
        <w:t>障害のある人の農業分野での就労機会を確保し、農業分野における労働力不足の解消を図る「農福連携」のため、農業者と障害のある人とのマッチングを強化するとともに、受入れを行う農業経営体を支援します。</w:t>
      </w:r>
      <w:r>
        <w:rPr>
          <w:rFonts w:hint="eastAsia"/>
          <w:color w:val="000000" w:themeColor="text1"/>
          <w:spacing w:val="-4"/>
          <w:kern w:val="0"/>
          <w:sz w:val="16"/>
        </w:rPr>
        <w:t>[</w:t>
      </w:r>
      <w:r>
        <w:rPr>
          <w:rFonts w:hint="eastAsia"/>
          <w:color w:val="000000" w:themeColor="text1"/>
          <w:spacing w:val="-4"/>
          <w:kern w:val="0"/>
          <w:sz w:val="16"/>
        </w:rPr>
        <w:t>経済産業部農業局</w:t>
      </w:r>
      <w:r>
        <w:rPr>
          <w:rFonts w:hint="eastAsia"/>
          <w:color w:val="000000" w:themeColor="text1"/>
          <w:spacing w:val="-4"/>
          <w:kern w:val="0"/>
          <w:sz w:val="16"/>
        </w:rPr>
        <w:t>]</w:t>
      </w:r>
    </w:p>
    <w:p>
      <w:pPr>
        <w:pStyle w:val="0"/>
        <w:autoSpaceDE w:val="0"/>
        <w:autoSpaceDN w:val="0"/>
        <w:adjustRightInd w:val="0"/>
        <w:spacing w:line="360" w:lineRule="exact"/>
        <w:ind w:left="576"/>
        <w:jc w:val="left"/>
        <w:rPr>
          <w:rFonts w:hint="default"/>
          <w:color w:val="000000" w:themeColor="text1"/>
        </w:rPr>
      </w:pPr>
    </w:p>
    <w:p>
      <w:pPr>
        <w:pStyle w:val="0"/>
        <w:numPr>
          <w:ilvl w:val="0"/>
          <w:numId w:val="68"/>
        </w:numPr>
        <w:autoSpaceDE w:val="0"/>
        <w:autoSpaceDN w:val="0"/>
        <w:adjustRightInd w:val="0"/>
        <w:spacing w:line="360" w:lineRule="exact"/>
        <w:jc w:val="left"/>
        <w:rPr>
          <w:rFonts w:hint="default"/>
          <w:color w:val="000000" w:themeColor="text1"/>
        </w:rPr>
      </w:pPr>
      <w:r>
        <w:rPr>
          <w:rFonts w:hint="eastAsia"/>
          <w:color w:val="000000" w:themeColor="text1"/>
          <w:kern w:val="0"/>
        </w:rPr>
        <w:t>障害のある人の雇用に取り組む中小企業者・組合に対し、必要な資金調達の円滑化を図ります。</w:t>
      </w:r>
      <w:r>
        <w:rPr>
          <w:rFonts w:hint="eastAsia"/>
          <w:color w:val="000000" w:themeColor="text1"/>
          <w:sz w:val="16"/>
        </w:rPr>
        <w:t>[</w:t>
      </w:r>
      <w:r>
        <w:rPr>
          <w:rFonts w:hint="eastAsia"/>
          <w:color w:val="000000" w:themeColor="text1"/>
          <w:spacing w:val="-4"/>
          <w:kern w:val="0"/>
          <w:sz w:val="16"/>
        </w:rPr>
        <w:t>経済産業部商工業</w:t>
      </w:r>
      <w:r>
        <w:rPr>
          <w:rFonts w:hint="eastAsia"/>
          <w:color w:val="000000" w:themeColor="text1"/>
          <w:sz w:val="16"/>
        </w:rPr>
        <w:t>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rPr>
      </w:pPr>
    </w:p>
    <w:p>
      <w:pPr>
        <w:pStyle w:val="0"/>
        <w:numPr>
          <w:ilvl w:val="0"/>
          <w:numId w:val="68"/>
        </w:numPr>
        <w:autoSpaceDE w:val="0"/>
        <w:autoSpaceDN w:val="0"/>
        <w:adjustRightInd w:val="0"/>
        <w:spacing w:line="360" w:lineRule="exact"/>
        <w:jc w:val="left"/>
        <w:rPr>
          <w:rFonts w:hint="default"/>
          <w:color w:val="000000" w:themeColor="text1"/>
        </w:rPr>
      </w:pPr>
      <w:r>
        <w:rPr>
          <w:rFonts w:hint="eastAsia"/>
          <w:color w:val="000000" w:themeColor="text1"/>
          <w:kern w:val="0"/>
        </w:rPr>
        <w:t>「静岡県障害者活躍推進計画</w:t>
      </w:r>
      <w:r>
        <w:rPr>
          <w:rFonts w:hint="eastAsia"/>
          <w:color w:val="000000" w:themeColor="text1"/>
          <w:spacing w:val="-4"/>
          <w:kern w:val="0"/>
          <w:vertAlign w:val="superscript"/>
        </w:rPr>
        <w:t>＊</w:t>
      </w:r>
      <w:r>
        <w:rPr>
          <w:rFonts w:hint="eastAsia"/>
          <w:color w:val="000000" w:themeColor="text1"/>
          <w:kern w:val="0"/>
        </w:rPr>
        <w:t>」に基づき、障害のある人の県職員への採用を進めるとともに、障害のある職員の定着に努めます。</w:t>
      </w:r>
      <w:r>
        <w:rPr>
          <w:rFonts w:hint="eastAsia"/>
          <w:color w:val="000000" w:themeColor="text1"/>
          <w:sz w:val="16"/>
        </w:rPr>
        <w:t>[</w:t>
      </w:r>
      <w:r>
        <w:rPr>
          <w:rFonts w:hint="eastAsia"/>
          <w:color w:val="000000" w:themeColor="text1"/>
          <w:sz w:val="16"/>
        </w:rPr>
        <w:t>経営管理部行政経営局</w:t>
      </w:r>
      <w:r>
        <w:rPr>
          <w:rFonts w:hint="eastAsia"/>
          <w:color w:val="000000" w:themeColor="text1"/>
          <w:sz w:val="16"/>
        </w:rPr>
        <w:t>]</w:t>
      </w:r>
      <w:r>
        <w:rPr>
          <w:rFonts w:hint="eastAsia"/>
          <w:color w:val="000000" w:themeColor="text1"/>
          <w:sz w:val="16"/>
        </w:rPr>
        <w:t>、</w:t>
      </w:r>
      <w:r>
        <w:rPr>
          <w:rFonts w:hint="eastAsia"/>
          <w:color w:val="000000" w:themeColor="text1"/>
          <w:sz w:val="16"/>
        </w:rPr>
        <w:t>[</w:t>
      </w:r>
      <w:r>
        <w:rPr>
          <w:rFonts w:hint="eastAsia"/>
          <w:color w:val="000000" w:themeColor="text1"/>
          <w:sz w:val="16"/>
        </w:rPr>
        <w:t>教育委員会</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rPr>
      </w:pPr>
    </w:p>
    <w:p>
      <w:pPr>
        <w:pStyle w:val="0"/>
        <w:numPr>
          <w:ilvl w:val="0"/>
          <w:numId w:val="68"/>
        </w:numPr>
        <w:autoSpaceDE w:val="0"/>
        <w:autoSpaceDN w:val="0"/>
        <w:adjustRightInd w:val="0"/>
        <w:spacing w:line="360" w:lineRule="exact"/>
        <w:jc w:val="left"/>
        <w:rPr>
          <w:rFonts w:hint="default"/>
          <w:color w:val="000000" w:themeColor="text1"/>
        </w:rPr>
      </w:pPr>
      <w:r>
        <w:rPr>
          <w:rFonts w:hint="eastAsia"/>
          <w:color w:val="000000" w:themeColor="text1"/>
        </w:rPr>
        <w:t>入札参加資格の審査項目に障害のある人の雇用率を設け、障害のある人の雇用に取り組む企業への発注を促進します。</w:t>
      </w:r>
      <w:r>
        <w:rPr>
          <w:rFonts w:hint="eastAsia"/>
          <w:color w:val="000000" w:themeColor="text1"/>
          <w:sz w:val="16"/>
        </w:rPr>
        <w:t>[</w:t>
      </w:r>
      <w:r>
        <w:rPr>
          <w:rFonts w:hint="eastAsia"/>
          <w:color w:val="000000" w:themeColor="text1"/>
          <w:sz w:val="16"/>
        </w:rPr>
        <w:t>出納局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rPr>
      </w:pPr>
    </w:p>
    <w:p>
      <w:pPr>
        <w:pStyle w:val="0"/>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【数値目標】</w:t>
      </w:r>
    </w:p>
    <w:tbl>
      <w:tblPr>
        <w:tblStyle w:val="11"/>
        <w:tblW w:w="9667"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4"/>
        <w:gridCol w:w="4873"/>
        <w:gridCol w:w="2190"/>
        <w:gridCol w:w="2190"/>
      </w:tblGrid>
      <w:tr>
        <w:trPr>
          <w:trHeight w:val="174"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rPr>
            </w:pPr>
            <w:r>
              <w:rPr>
                <w:rFonts w:hint="eastAsia"/>
                <w:color w:val="000000" w:themeColor="text1"/>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現状値</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目標値</w:t>
            </w:r>
          </w:p>
        </w:tc>
      </w:tr>
      <w:tr>
        <w:trPr>
          <w:trHeight w:val="520"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rPr>
            </w:pPr>
            <w:r>
              <w:rPr>
                <w:rFonts w:hint="eastAsia"/>
                <w:color w:val="000000" w:themeColor="text1"/>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rPr>
            </w:pPr>
            <w:r>
              <w:rPr>
                <w:rFonts w:hint="eastAsia"/>
                <w:color w:val="000000" w:themeColor="text1"/>
              </w:rPr>
              <w:t>障害者雇用率</w:t>
            </w:r>
          </w:p>
        </w:tc>
        <w:tc>
          <w:tcPr>
            <w:tcW w:w="21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(2021</w:t>
            </w:r>
            <w:r>
              <w:rPr>
                <w:rFonts w:hint="eastAsia"/>
                <w:color w:val="000000" w:themeColor="text1"/>
              </w:rPr>
              <w:t>年度</w:t>
            </w:r>
            <w:r>
              <w:rPr>
                <w:rFonts w:hint="eastAsia"/>
                <w:color w:val="000000" w:themeColor="text1"/>
              </w:rPr>
              <w:t>)</w:t>
            </w:r>
          </w:p>
          <w:p>
            <w:pPr>
              <w:pStyle w:val="0"/>
              <w:spacing w:line="360" w:lineRule="exact"/>
              <w:jc w:val="center"/>
              <w:rPr>
                <w:rFonts w:hint="default"/>
                <w:color w:val="000000" w:themeColor="text1"/>
              </w:rPr>
            </w:pPr>
            <w:r>
              <w:rPr>
                <w:rFonts w:hint="eastAsia"/>
                <w:color w:val="000000" w:themeColor="text1"/>
              </w:rPr>
              <w:t>2.28</w:t>
            </w:r>
            <w:r>
              <w:rPr>
                <w:rFonts w:hint="eastAsia"/>
                <w:color w:val="000000" w:themeColor="text1"/>
              </w:rPr>
              <w:t>％</w:t>
            </w:r>
          </w:p>
        </w:tc>
        <w:tc>
          <w:tcPr>
            <w:tcW w:w="21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2.40</w:t>
            </w:r>
            <w:r>
              <w:rPr>
                <w:rFonts w:hint="eastAsia"/>
                <w:color w:val="000000" w:themeColor="text1"/>
              </w:rPr>
              <w:t>％</w:t>
            </w:r>
          </w:p>
        </w:tc>
      </w:tr>
      <w:tr>
        <w:trPr>
          <w:trHeight w:val="520"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rPr>
            </w:pPr>
            <w:r>
              <w:rPr>
                <w:rFonts w:hint="eastAsia"/>
                <w:color w:val="000000" w:themeColor="text1"/>
              </w:rPr>
              <w:t>２</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rPr>
            </w:pPr>
            <w:r>
              <w:rPr>
                <w:rFonts w:hint="eastAsia"/>
                <w:color w:val="000000" w:themeColor="text1"/>
              </w:rPr>
              <w:t>障害者雇用推進コーディネーター支援による就職者数</w:t>
            </w:r>
          </w:p>
        </w:tc>
        <w:tc>
          <w:tcPr>
            <w:tcW w:w="21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(2020</w:t>
            </w:r>
            <w:r>
              <w:rPr>
                <w:rFonts w:hint="eastAsia"/>
                <w:color w:val="000000" w:themeColor="text1"/>
              </w:rPr>
              <w:t>年度</w:t>
            </w:r>
            <w:r>
              <w:rPr>
                <w:rFonts w:hint="eastAsia"/>
                <w:color w:val="000000" w:themeColor="text1"/>
              </w:rPr>
              <w:t>)</w:t>
            </w:r>
          </w:p>
          <w:p>
            <w:pPr>
              <w:pStyle w:val="0"/>
              <w:spacing w:line="360" w:lineRule="exact"/>
              <w:jc w:val="center"/>
              <w:rPr>
                <w:rFonts w:hint="default"/>
                <w:color w:val="000000" w:themeColor="text1"/>
              </w:rPr>
            </w:pPr>
            <w:r>
              <w:rPr>
                <w:rFonts w:hint="eastAsia"/>
                <w:color w:val="000000" w:themeColor="text1"/>
              </w:rPr>
              <w:t>537</w:t>
            </w:r>
            <w:r>
              <w:rPr>
                <w:rFonts w:hint="eastAsia"/>
                <w:color w:val="000000" w:themeColor="text1"/>
              </w:rPr>
              <w:t>人</w:t>
            </w:r>
          </w:p>
        </w:tc>
        <w:tc>
          <w:tcPr>
            <w:tcW w:w="21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650</w:t>
            </w:r>
            <w:r>
              <w:rPr>
                <w:rFonts w:hint="eastAsia"/>
                <w:color w:val="000000" w:themeColor="text1"/>
              </w:rPr>
              <w:t>人</w:t>
            </w:r>
          </w:p>
        </w:tc>
      </w:tr>
    </w:tbl>
    <w:p>
      <w:pPr>
        <w:pStyle w:val="0"/>
        <w:rPr>
          <w:rFonts w:hint="default" w:ascii="ＭＳ ゴシック" w:hAnsi="ＭＳ ゴシック" w:eastAsia="ＭＳ ゴシック"/>
          <w:b w:val="1"/>
          <w:color w:val="000000" w:themeColor="text1"/>
        </w:rPr>
      </w:pPr>
    </w:p>
    <w:p>
      <w:pPr>
        <w:pStyle w:val="0"/>
        <w:outlineLvl w:val="2"/>
        <w:rPr>
          <w:rFonts w:hint="default" w:ascii="ＭＳ ゴシック" w:hAnsi="ＭＳ ゴシック" w:eastAsia="ＭＳ ゴシック"/>
          <w:color w:val="000000" w:themeColor="text1"/>
        </w:rPr>
      </w:pPr>
      <w:bookmarkStart w:id="112" w:name="_Toc503474070"/>
      <w:r>
        <w:rPr>
          <w:rFonts w:hint="eastAsia" w:ascii="ＭＳ ゴシック" w:hAnsi="ＭＳ ゴシック" w:eastAsia="ＭＳ ゴシック"/>
          <w:color w:val="000000" w:themeColor="text1"/>
        </w:rPr>
        <w:t>（３）</w:t>
      </w:r>
      <w:bookmarkEnd w:id="112"/>
      <w:r>
        <w:rPr>
          <w:rFonts w:hint="eastAsia" w:ascii="ＭＳ ゴシック" w:hAnsi="ＭＳ ゴシック" w:eastAsia="ＭＳ ゴシック"/>
          <w:color w:val="000000" w:themeColor="text1"/>
        </w:rPr>
        <w:t>職場定着の支援</w:t>
      </w:r>
    </w:p>
    <w:p>
      <w:pPr>
        <w:pStyle w:val="0"/>
        <w:rPr>
          <w:rFonts w:hint="default"/>
          <w:color w:val="000000" w:themeColor="text1"/>
        </w:rPr>
      </w:pPr>
      <w:r>
        <w:rPr>
          <w:rFonts w:hint="eastAsia" w:ascii="ＭＳ ゴシック" w:hAnsi="ＭＳ ゴシック" w:eastAsia="ＭＳ ゴシック"/>
          <w:color w:val="000000" w:themeColor="text1"/>
        </w:rPr>
        <w:t>【現状と課題】</w:t>
      </w:r>
    </w:p>
    <w:p>
      <w:pPr>
        <w:pStyle w:val="0"/>
        <w:numPr>
          <w:ilvl w:val="0"/>
          <w:numId w:val="69"/>
        </w:numPr>
        <w:autoSpaceDE w:val="0"/>
        <w:autoSpaceDN w:val="0"/>
        <w:adjustRightInd w:val="0"/>
        <w:spacing w:line="360" w:lineRule="exact"/>
        <w:jc w:val="left"/>
        <w:rPr>
          <w:rFonts w:hint="default"/>
        </w:rPr>
      </w:pPr>
      <w:r>
        <w:rPr>
          <w:rFonts w:hint="eastAsia"/>
          <w:color w:val="000000" w:themeColor="text1"/>
          <w:kern w:val="0"/>
        </w:rPr>
        <w:t>障害のある人の就労定着に</w:t>
      </w:r>
      <w:r>
        <w:rPr>
          <w:rFonts w:hint="eastAsia"/>
          <w:kern w:val="0"/>
        </w:rPr>
        <w:t>は、就職先企業の理解と周囲の協力が不可欠ですが、周囲の人たちの障害に対する正しい知識や理解が足りないため、就労が安定せずに離職してしまう事例があります。このため、就職した後、職場での障害への理解、仕事へのフォローアップなど障害のある人が働きやすい環境づくりを推進していくことが重要です。</w:t>
      </w:r>
    </w:p>
    <w:p>
      <w:pPr>
        <w:pStyle w:val="0"/>
        <w:autoSpaceDE w:val="0"/>
        <w:autoSpaceDN w:val="0"/>
        <w:adjustRightInd w:val="0"/>
        <w:spacing w:line="360" w:lineRule="exact"/>
        <w:ind w:left="576"/>
        <w:jc w:val="left"/>
        <w:rPr>
          <w:rFonts w:hint="default"/>
        </w:rPr>
      </w:pPr>
    </w:p>
    <w:p>
      <w:pPr>
        <w:pStyle w:val="0"/>
        <w:numPr>
          <w:ilvl w:val="0"/>
          <w:numId w:val="69"/>
        </w:numPr>
        <w:autoSpaceDE w:val="0"/>
        <w:autoSpaceDN w:val="0"/>
        <w:adjustRightInd w:val="0"/>
        <w:spacing w:line="360" w:lineRule="exact"/>
        <w:jc w:val="left"/>
        <w:rPr>
          <w:rFonts w:hint="default"/>
          <w:color w:val="000000" w:themeColor="text1"/>
        </w:rPr>
      </w:pPr>
      <w:r>
        <w:rPr>
          <w:rFonts w:hint="eastAsia"/>
          <w:color w:val="000000" w:themeColor="text1"/>
        </w:rPr>
        <w:t>精神障害や発達障害</w:t>
      </w:r>
      <w:r>
        <w:rPr>
          <w:rFonts w:hint="eastAsia"/>
          <w:spacing w:val="-4"/>
          <w:kern w:val="0"/>
          <w:vertAlign w:val="superscript"/>
        </w:rPr>
        <w:t>＊</w:t>
      </w:r>
      <w:r>
        <w:rPr>
          <w:rFonts w:hint="eastAsia"/>
          <w:color w:val="000000" w:themeColor="text1"/>
        </w:rPr>
        <w:t>のある人の就労において、長く働くための支援内容が複雑化・多様化している状況を踏まえ、企業等において、日常的・継続的な定着支援ができる体制づくりを進めていく必要があります。</w:t>
      </w:r>
    </w:p>
    <w:p>
      <w:pPr>
        <w:pStyle w:val="0"/>
        <w:rPr>
          <w:rFonts w:hint="default"/>
          <w:color w:val="000000" w:themeColor="text1"/>
        </w:rPr>
      </w:pPr>
    </w:p>
    <w:p>
      <w:pPr>
        <w:pStyle w:val="0"/>
        <w:rPr>
          <w:rFonts w:hint="default"/>
          <w:color w:val="000000" w:themeColor="text1"/>
        </w:rPr>
      </w:pPr>
      <w:r>
        <w:rPr>
          <w:rFonts w:hint="eastAsia" w:ascii="ＭＳ ゴシック" w:hAnsi="ＭＳ ゴシック" w:eastAsia="ＭＳ ゴシック"/>
          <w:color w:val="000000" w:themeColor="text1"/>
        </w:rPr>
        <w:t>【県の取組】</w:t>
      </w:r>
    </w:p>
    <w:p>
      <w:pPr>
        <w:pStyle w:val="0"/>
        <w:numPr>
          <w:ilvl w:val="0"/>
          <w:numId w:val="70"/>
        </w:numPr>
        <w:autoSpaceDE w:val="0"/>
        <w:autoSpaceDN w:val="0"/>
        <w:adjustRightInd w:val="0"/>
        <w:spacing w:line="360" w:lineRule="exact"/>
        <w:jc w:val="left"/>
        <w:rPr>
          <w:rFonts w:hint="default"/>
          <w:color w:val="000000" w:themeColor="text1"/>
          <w:spacing w:val="-4"/>
          <w:sz w:val="16"/>
        </w:rPr>
      </w:pPr>
      <w:r>
        <w:rPr>
          <w:rFonts w:hint="eastAsia"/>
          <w:color w:val="000000" w:themeColor="text1"/>
          <w:kern w:val="0"/>
        </w:rPr>
        <w:t>障害のある人に対する差別・偏見の解消や、各障害の特性についての理解を深めるため、正しい知識の普及・啓発を更に進めます。</w:t>
      </w:r>
      <w:r>
        <w:rPr>
          <w:rFonts w:hint="eastAsia"/>
          <w:color w:val="000000" w:themeColor="text1"/>
          <w:spacing w:val="-4"/>
          <w:sz w:val="16"/>
        </w:rPr>
        <w:t>[</w:t>
      </w:r>
      <w:r>
        <w:rPr>
          <w:rFonts w:hint="eastAsia"/>
          <w:color w:val="000000" w:themeColor="text1"/>
          <w:spacing w:val="-4"/>
          <w:kern w:val="0"/>
          <w:sz w:val="16"/>
        </w:rPr>
        <w:t>健康福祉部</w:t>
      </w:r>
      <w:r>
        <w:rPr>
          <w:rFonts w:hint="eastAsia"/>
          <w:color w:val="000000" w:themeColor="text1"/>
          <w:spacing w:val="-4"/>
          <w:sz w:val="16"/>
        </w:rPr>
        <w:t>障害者支援局</w:t>
      </w:r>
      <w:r>
        <w:rPr>
          <w:rFonts w:hint="eastAsia"/>
          <w:color w:val="000000" w:themeColor="text1"/>
          <w:spacing w:val="-4"/>
          <w:sz w:val="16"/>
        </w:rPr>
        <w:t>]</w:t>
      </w:r>
    </w:p>
    <w:p>
      <w:pPr>
        <w:pStyle w:val="0"/>
        <w:autoSpaceDE w:val="0"/>
        <w:autoSpaceDN w:val="0"/>
        <w:adjustRightInd w:val="0"/>
        <w:spacing w:line="360" w:lineRule="exact"/>
        <w:ind w:left="576"/>
        <w:jc w:val="left"/>
        <w:rPr>
          <w:rFonts w:hint="default"/>
          <w:color w:val="000000" w:themeColor="text1"/>
          <w:spacing w:val="-4"/>
          <w:sz w:val="16"/>
        </w:rPr>
      </w:pPr>
    </w:p>
    <w:p>
      <w:pPr>
        <w:pStyle w:val="0"/>
        <w:numPr>
          <w:ilvl w:val="0"/>
          <w:numId w:val="70"/>
        </w:numPr>
        <w:autoSpaceDE w:val="0"/>
        <w:autoSpaceDN w:val="0"/>
        <w:adjustRightInd w:val="0"/>
        <w:spacing w:line="360" w:lineRule="exact"/>
        <w:jc w:val="left"/>
        <w:rPr>
          <w:rFonts w:hint="default"/>
          <w:kern w:val="0"/>
        </w:rPr>
      </w:pPr>
      <w:r>
        <w:rPr>
          <w:rFonts w:hint="eastAsia"/>
          <w:color w:val="000000" w:themeColor="text1"/>
          <w:kern w:val="0"/>
        </w:rPr>
        <w:t>障害のある人が職場の習慣・環境等に適応できるように、職場適応援助者（県ジョブコーチ）</w:t>
      </w:r>
      <w:r>
        <w:rPr>
          <w:rFonts w:hint="eastAsia"/>
          <w:color w:val="000000" w:themeColor="text1"/>
          <w:spacing w:val="-4"/>
          <w:kern w:val="0"/>
          <w:vertAlign w:val="superscript"/>
        </w:rPr>
        <w:t>＊</w:t>
      </w:r>
      <w:r>
        <w:rPr>
          <w:rFonts w:hint="eastAsia"/>
          <w:color w:val="000000" w:themeColor="text1"/>
          <w:kern w:val="0"/>
        </w:rPr>
        <w:t>を派遣し、障害のある人の社会的自立と職業生活の安定に努めます。また、企業内ジョブコーチを育成し、日常的な配慮や社員同士の協力体制の充実を図ります。さらに、支援経験豊富な職場適応援助者（県ジョブコーチ）による企業内ジョブコーチへの個別支援を実施し、困難な事例等への対応策について助言を行います。</w:t>
      </w:r>
      <w:r>
        <w:rPr>
          <w:rFonts w:hint="eastAsia"/>
          <w:sz w:val="16"/>
        </w:rPr>
        <w:t>[</w:t>
      </w:r>
      <w:r>
        <w:rPr>
          <w:rFonts w:hint="eastAsia"/>
          <w:sz w:val="16"/>
        </w:rPr>
        <w:t>経済産業部就業支援局</w:t>
      </w:r>
      <w:r>
        <w:rPr>
          <w:rFonts w:hint="eastAsia"/>
          <w:sz w:val="16"/>
        </w:rPr>
        <w:t>]</w:t>
      </w:r>
    </w:p>
    <w:p>
      <w:pPr>
        <w:pStyle w:val="0"/>
        <w:autoSpaceDE w:val="0"/>
        <w:autoSpaceDN w:val="0"/>
        <w:adjustRightInd w:val="0"/>
        <w:spacing w:line="360" w:lineRule="exact"/>
        <w:ind w:left="576"/>
        <w:jc w:val="left"/>
        <w:rPr>
          <w:rFonts w:hint="default"/>
          <w:kern w:val="0"/>
        </w:rPr>
      </w:pPr>
    </w:p>
    <w:p>
      <w:pPr>
        <w:pStyle w:val="0"/>
        <w:numPr>
          <w:ilvl w:val="0"/>
          <w:numId w:val="70"/>
        </w:numPr>
        <w:autoSpaceDE w:val="0"/>
        <w:autoSpaceDN w:val="0"/>
        <w:adjustRightInd w:val="0"/>
        <w:spacing w:line="360" w:lineRule="exact"/>
        <w:jc w:val="left"/>
        <w:rPr>
          <w:rFonts w:hint="default"/>
        </w:rPr>
      </w:pPr>
      <w:r>
        <w:rPr>
          <w:rFonts w:hint="eastAsia"/>
        </w:rPr>
        <w:t>精神障害者雇用に関する従業員の理解や職場環境整備を支援するため、精神障害者職場環境アドバイザーを企業等に派遣し、研修会や相談会を実施します。</w:t>
      </w:r>
      <w:r>
        <w:rPr>
          <w:rFonts w:hint="eastAsia"/>
          <w:sz w:val="16"/>
        </w:rPr>
        <w:t>[</w:t>
      </w:r>
      <w:r>
        <w:rPr>
          <w:rFonts w:hint="eastAsia"/>
          <w:sz w:val="16"/>
        </w:rPr>
        <w:t>経済産業部就業支援局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70"/>
        </w:numPr>
        <w:autoSpaceDE w:val="0"/>
        <w:autoSpaceDN w:val="0"/>
        <w:adjustRightInd w:val="0"/>
        <w:spacing w:line="360" w:lineRule="exact"/>
        <w:jc w:val="left"/>
        <w:rPr>
          <w:rFonts w:hint="default"/>
        </w:rPr>
      </w:pPr>
      <w:r>
        <w:rPr>
          <w:rFonts w:hint="eastAsia"/>
          <w:kern w:val="0"/>
        </w:rPr>
        <w:t>通勤が困難などの理由により、在宅で就労する障害のある人に対して、静岡労働局と連携して、仕事を発注する事業主に報奨金等を支給する「在宅就業障害者支援制度</w:t>
      </w:r>
      <w:r>
        <w:rPr>
          <w:rFonts w:hint="eastAsia"/>
          <w:vertAlign w:val="superscript"/>
        </w:rPr>
        <w:t>＊</w:t>
      </w:r>
      <w:r>
        <w:rPr>
          <w:rFonts w:hint="eastAsia"/>
          <w:kern w:val="0"/>
        </w:rPr>
        <w:t>」等の周知・普及を図ります。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r>
        <w:rPr>
          <w:rFonts w:hint="eastAsia"/>
          <w:spacing w:val="-4"/>
          <w:kern w:val="0"/>
          <w:sz w:val="16"/>
        </w:rPr>
        <w:t>、</w:t>
      </w:r>
      <w:r>
        <w:rPr>
          <w:rFonts w:hint="eastAsia"/>
          <w:sz w:val="16"/>
        </w:rPr>
        <w:t>[</w:t>
      </w:r>
      <w:r>
        <w:rPr>
          <w:rFonts w:hint="eastAsia"/>
          <w:sz w:val="16"/>
        </w:rPr>
        <w:t>経済産業部就業支援局</w:t>
      </w:r>
      <w:r>
        <w:rPr>
          <w:rFonts w:hint="eastAsia"/>
          <w:spacing w:val="-4"/>
          <w:kern w:val="0"/>
          <w:sz w:val="16"/>
        </w:rPr>
        <w:t>]</w:t>
      </w:r>
    </w:p>
    <w:p>
      <w:pPr>
        <w:pStyle w:val="0"/>
        <w:rPr>
          <w:rFonts w:hint="default" w:ascii="ＭＳ ゴシック" w:hAnsi="ＭＳ ゴシック" w:eastAsia="ＭＳ ゴシック"/>
          <w:b w:val="1"/>
        </w:rPr>
      </w:pPr>
    </w:p>
    <w:p>
      <w:pPr>
        <w:pStyle w:val="0"/>
        <w:outlineLvl w:val="2"/>
        <w:rPr>
          <w:rFonts w:hint="default" w:ascii="ＭＳ ゴシック" w:hAnsi="ＭＳ ゴシック" w:eastAsia="ＭＳ ゴシック"/>
        </w:rPr>
      </w:pPr>
      <w:bookmarkStart w:id="113" w:name="_Toc503474071"/>
      <w:r>
        <w:rPr>
          <w:rFonts w:hint="eastAsia" w:ascii="ＭＳ ゴシック" w:hAnsi="ＭＳ ゴシック" w:eastAsia="ＭＳ ゴシック"/>
        </w:rPr>
        <w:t>（４）福祉的就労への支援</w:t>
      </w:r>
      <w:bookmarkEnd w:id="113"/>
    </w:p>
    <w:p>
      <w:pPr>
        <w:pStyle w:val="0"/>
        <w:rPr>
          <w:rFonts w:hint="default"/>
        </w:rPr>
      </w:pPr>
      <w:r>
        <w:rPr>
          <w:rFonts w:hint="eastAsia" w:ascii="ＭＳ ゴシック" w:hAnsi="ＭＳ ゴシック" w:eastAsia="ＭＳ ゴシック"/>
        </w:rPr>
        <w:t>【現状と課題】</w:t>
      </w:r>
    </w:p>
    <w:p>
      <w:pPr>
        <w:pStyle w:val="0"/>
        <w:numPr>
          <w:ilvl w:val="0"/>
          <w:numId w:val="71"/>
        </w:numPr>
        <w:autoSpaceDE w:val="0"/>
        <w:autoSpaceDN w:val="0"/>
        <w:adjustRightInd w:val="0"/>
        <w:spacing w:line="360" w:lineRule="exact"/>
        <w:jc w:val="left"/>
        <w:rPr>
          <w:rFonts w:hint="default"/>
          <w:color w:val="000000" w:themeColor="text1"/>
        </w:rPr>
      </w:pPr>
      <w:r>
        <w:rPr>
          <w:rFonts w:hint="eastAsia"/>
          <w:kern w:val="0"/>
        </w:rPr>
        <w:t>「障害のある方の実態調査」（</w:t>
      </w:r>
      <w:r>
        <w:rPr>
          <w:rFonts w:hint="eastAsia"/>
          <w:kern w:val="0"/>
        </w:rPr>
        <w:t>2020</w:t>
      </w:r>
      <w:r>
        <w:rPr>
          <w:rFonts w:hint="eastAsia"/>
          <w:kern w:val="0"/>
        </w:rPr>
        <w:t>年度）によると、</w:t>
      </w:r>
      <w:r>
        <w:rPr>
          <w:rFonts w:hint="eastAsia"/>
          <w:color w:val="000000" w:themeColor="text1"/>
          <w:kern w:val="0"/>
        </w:rPr>
        <w:t>稼働年齢層（</w:t>
      </w:r>
      <w:r>
        <w:rPr>
          <w:rFonts w:hint="eastAsia"/>
          <w:color w:val="000000" w:themeColor="text1"/>
          <w:kern w:val="0"/>
        </w:rPr>
        <w:t>16</w:t>
      </w:r>
      <w:r>
        <w:rPr>
          <w:rFonts w:hint="eastAsia"/>
          <w:color w:val="000000" w:themeColor="text1"/>
          <w:kern w:val="0"/>
        </w:rPr>
        <w:t>歳～</w:t>
      </w:r>
      <w:r>
        <w:rPr>
          <w:rFonts w:hint="eastAsia"/>
          <w:color w:val="000000" w:themeColor="text1"/>
          <w:kern w:val="0"/>
        </w:rPr>
        <w:t>64</w:t>
      </w:r>
      <w:r>
        <w:rPr>
          <w:rFonts w:hint="eastAsia"/>
          <w:color w:val="000000" w:themeColor="text1"/>
          <w:kern w:val="0"/>
        </w:rPr>
        <w:t>歳）で現在仕事をしている人のうち、</w:t>
      </w:r>
      <w:r>
        <w:rPr>
          <w:rFonts w:hint="eastAsia"/>
          <w:color w:val="000000" w:themeColor="text1"/>
          <w:kern w:val="0"/>
        </w:rPr>
        <w:t>30.6</w:t>
      </w:r>
      <w:r>
        <w:rPr>
          <w:rFonts w:hint="eastAsia"/>
          <w:color w:val="000000" w:themeColor="text1"/>
          <w:kern w:val="0"/>
        </w:rPr>
        <w:t>％の人が障害者就労施設等で働いています。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36"/>
        </w:numPr>
        <w:autoSpaceDE w:val="0"/>
        <w:autoSpaceDN w:val="0"/>
        <w:adjustRightInd w:val="0"/>
        <w:spacing w:line="360" w:lineRule="exact"/>
        <w:jc w:val="left"/>
        <w:rPr>
          <w:rFonts w:hint="default"/>
          <w:b w:val="1"/>
        </w:rPr>
      </w:pPr>
      <w:r>
        <w:rPr>
          <w:rFonts w:hint="eastAsia"/>
          <w:color w:val="000000" w:themeColor="text1"/>
          <w:kern w:val="0"/>
        </w:rPr>
        <w:t>本県の福祉的就労を行う人の平均工賃月額は、年々増加傾向にありましたが、</w:t>
      </w:r>
      <w:r>
        <w:rPr>
          <w:rFonts w:hint="eastAsia"/>
          <w:color w:val="000000" w:themeColor="text1"/>
          <w:kern w:val="0"/>
        </w:rPr>
        <w:t>2020</w:t>
      </w:r>
      <w:r>
        <w:rPr>
          <w:rFonts w:hint="eastAsia"/>
          <w:color w:val="000000" w:themeColor="text1"/>
          <w:kern w:val="0"/>
        </w:rPr>
        <w:t>年度は新型コロナ感染症の拡大の影響により、</w:t>
      </w:r>
      <w:r>
        <w:rPr>
          <w:rFonts w:hint="eastAsia"/>
          <w:color w:val="000000" w:themeColor="text1"/>
          <w:kern w:val="0"/>
        </w:rPr>
        <w:t>15,529</w:t>
      </w:r>
      <w:r>
        <w:rPr>
          <w:rFonts w:hint="eastAsia"/>
          <w:color w:val="000000" w:themeColor="text1"/>
          <w:kern w:val="0"/>
        </w:rPr>
        <w:t>円</w:t>
      </w:r>
      <w:r>
        <w:rPr>
          <w:rFonts w:hint="eastAsia"/>
          <w:kern w:val="0"/>
        </w:rPr>
        <w:t>と大きく減少しました。障害のある人が働くことを通して、働く実感と喜びを持ち自立生活を送ることができるよう、福祉的就労を支援し、障害者就労施設等での工賃水準の向上を図る必要があります。</w:t>
      </w:r>
    </w:p>
    <w:p>
      <w:pPr>
        <w:pStyle w:val="0"/>
        <w:autoSpaceDE w:val="0"/>
        <w:autoSpaceDN w:val="0"/>
        <w:adjustRightInd w:val="0"/>
        <w:jc w:val="left"/>
        <w:rPr>
          <w:rFonts w:hint="default"/>
        </w:rPr>
      </w:pPr>
    </w:p>
    <w:p>
      <w:pPr>
        <w:pStyle w:val="0"/>
        <w:autoSpaceDE w:val="0"/>
        <w:autoSpaceDN w:val="0"/>
        <w:adjustRightInd w:val="0"/>
        <w:jc w:val="left"/>
        <w:rPr>
          <w:rFonts w:hint="default"/>
        </w:rPr>
      </w:pPr>
      <w:r>
        <w:rPr>
          <w:rFonts w:hint="eastAsia" w:ascii="ＭＳ ゴシック" w:hAnsi="ＭＳ ゴシック" w:eastAsia="ＭＳ ゴシック"/>
        </w:rPr>
        <w:t>【県の取組】</w:t>
      </w:r>
    </w:p>
    <w:p>
      <w:pPr>
        <w:pStyle w:val="0"/>
        <w:numPr>
          <w:ilvl w:val="0"/>
          <w:numId w:val="72"/>
        </w:numPr>
        <w:autoSpaceDE w:val="0"/>
        <w:autoSpaceDN w:val="0"/>
        <w:adjustRightInd w:val="0"/>
        <w:spacing w:line="360" w:lineRule="exact"/>
        <w:jc w:val="left"/>
        <w:rPr>
          <w:rFonts w:hint="default"/>
          <w:color w:val="000000" w:themeColor="text1"/>
          <w:spacing w:val="-4"/>
        </w:rPr>
      </w:pPr>
      <w:r>
        <w:rPr>
          <w:rFonts w:hint="eastAsia"/>
          <w:color w:val="000000" w:themeColor="text1"/>
          <w:spacing w:val="-4"/>
        </w:rPr>
        <w:t>障害のある人の経済的な自立を促進するため、「静岡県工賃向上計画」に基づき、事業所の受注機会の拡大や収益向上のための支援などにより、更なる工賃向上を推進します。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障害者支援局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pacing w:val="-4"/>
        </w:rPr>
      </w:pPr>
    </w:p>
    <w:p>
      <w:pPr>
        <w:pStyle w:val="0"/>
        <w:numPr>
          <w:ilvl w:val="0"/>
          <w:numId w:val="72"/>
        </w:numPr>
        <w:autoSpaceDE w:val="0"/>
        <w:autoSpaceDN w:val="0"/>
        <w:adjustRightInd w:val="0"/>
        <w:spacing w:line="360" w:lineRule="exact"/>
        <w:jc w:val="left"/>
        <w:rPr>
          <w:rFonts w:hint="default"/>
          <w:color w:val="000000" w:themeColor="text1"/>
          <w:spacing w:val="-4"/>
        </w:rPr>
      </w:pPr>
      <w:r>
        <w:rPr>
          <w:rFonts w:hint="eastAsia"/>
          <w:color w:val="000000" w:themeColor="text1"/>
          <w:spacing w:val="-4"/>
        </w:rPr>
        <w:t>福祉と企業をつなぐ拠点である障害者働く幸せ創出センター</w:t>
      </w:r>
      <w:r>
        <w:rPr>
          <w:rFonts w:hint="eastAsia"/>
          <w:color w:val="000000" w:themeColor="text1"/>
          <w:vertAlign w:val="superscript"/>
        </w:rPr>
        <w:t>＊</w:t>
      </w:r>
      <w:r>
        <w:rPr>
          <w:rFonts w:hint="eastAsia"/>
          <w:color w:val="000000" w:themeColor="text1"/>
          <w:spacing w:val="-4"/>
        </w:rPr>
        <w:t>による事業所の受注機会の確保とともに、</w:t>
      </w:r>
      <w:r>
        <w:rPr>
          <w:rFonts w:hint="eastAsia"/>
          <w:color w:val="auto"/>
          <w:spacing w:val="-4"/>
        </w:rPr>
        <w:t>ふじのくに</w:t>
      </w:r>
      <w:r>
        <w:rPr>
          <w:rFonts w:hint="eastAsia"/>
          <w:color w:val="000000" w:themeColor="text1"/>
          <w:spacing w:val="-4"/>
        </w:rPr>
        <w:t>福産品</w:t>
      </w:r>
      <w:r>
        <w:rPr>
          <w:rFonts w:hint="eastAsia"/>
          <w:color w:val="000000" w:themeColor="text1"/>
          <w:vertAlign w:val="superscript"/>
        </w:rPr>
        <w:t>＊</w:t>
      </w:r>
      <w:r>
        <w:rPr>
          <w:rFonts w:hint="eastAsia"/>
          <w:color w:val="000000" w:themeColor="text1"/>
          <w:spacing w:val="-4"/>
        </w:rPr>
        <w:t>の継続的な購入を県民に呼び掛ける「ふじのくに福産品一人一品運動」</w:t>
      </w:r>
      <w:r>
        <w:rPr>
          <w:rFonts w:hint="eastAsia"/>
          <w:spacing w:val="-4"/>
          <w:kern w:val="0"/>
          <w:vertAlign w:val="superscript"/>
        </w:rPr>
        <w:t>＊</w:t>
      </w:r>
      <w:r>
        <w:rPr>
          <w:rFonts w:hint="eastAsia"/>
          <w:color w:val="000000" w:themeColor="text1"/>
          <w:spacing w:val="-4"/>
        </w:rPr>
        <w:t>の地域への展開などにより福産品の販路拡大を図ります。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障害者支援局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pacing w:val="-4"/>
        </w:rPr>
      </w:pPr>
    </w:p>
    <w:p>
      <w:pPr>
        <w:pStyle w:val="0"/>
        <w:numPr>
          <w:ilvl w:val="0"/>
          <w:numId w:val="72"/>
        </w:numPr>
        <w:autoSpaceDE w:val="0"/>
        <w:autoSpaceDN w:val="0"/>
        <w:adjustRightInd w:val="0"/>
        <w:spacing w:line="360" w:lineRule="exact"/>
        <w:jc w:val="left"/>
        <w:rPr>
          <w:rFonts w:hint="default"/>
          <w:color w:val="000000" w:themeColor="text1"/>
          <w:spacing w:val="-4"/>
        </w:rPr>
      </w:pPr>
      <w:r>
        <w:rPr>
          <w:rFonts w:hint="eastAsia"/>
          <w:color w:val="000000" w:themeColor="text1"/>
          <w:spacing w:val="-4"/>
        </w:rPr>
        <w:t>「ふじのくに福産品」</w:t>
      </w:r>
      <w:r>
        <w:rPr>
          <w:rFonts w:hint="eastAsia"/>
          <w:spacing w:val="-4"/>
          <w:kern w:val="0"/>
          <w:vertAlign w:val="superscript"/>
        </w:rPr>
        <w:t>＊</w:t>
      </w:r>
      <w:r>
        <w:rPr>
          <w:rFonts w:hint="eastAsia"/>
          <w:color w:val="000000" w:themeColor="text1"/>
          <w:spacing w:val="-4"/>
        </w:rPr>
        <w:t>の愛称やロゴマーク、</w:t>
      </w:r>
      <w:r>
        <w:rPr>
          <w:rFonts w:hint="eastAsia"/>
          <w:color w:val="auto"/>
          <w:spacing w:val="-4"/>
        </w:rPr>
        <w:t>ふじのくに福産品Ｗ</w:t>
      </w:r>
      <w:r>
        <w:rPr>
          <w:rFonts w:hint="eastAsia"/>
          <w:color w:val="auto"/>
          <w:spacing w:val="-4"/>
        </w:rPr>
        <w:t>eb</w:t>
      </w:r>
      <w:r>
        <w:rPr>
          <w:rFonts w:hint="eastAsia"/>
          <w:color w:val="auto"/>
          <w:spacing w:val="-4"/>
        </w:rPr>
        <w:t>カタログ</w:t>
      </w:r>
      <w:r>
        <w:rPr>
          <w:rFonts w:hint="eastAsia"/>
          <w:color w:val="auto"/>
          <w:vertAlign w:val="superscript"/>
        </w:rPr>
        <w:t>＊</w:t>
      </w:r>
      <w:r>
        <w:rPr>
          <w:rFonts w:hint="eastAsia"/>
          <w:color w:val="000000" w:themeColor="text1"/>
          <w:spacing w:val="-4"/>
        </w:rPr>
        <w:t>を活用しながら、県民向け広報誌や各種イベントなど様々な場面において福産品のＰＲ強化に取り組み、認知度向上を図ります。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障害者支援局</w:t>
      </w:r>
      <w:r>
        <w:rPr>
          <w:rFonts w:hint="eastAsia"/>
          <w:color w:val="000000" w:themeColor="text1"/>
          <w:sz w:val="16"/>
        </w:rPr>
        <w:t>]</w:t>
      </w:r>
    </w:p>
    <w:p>
      <w:pPr>
        <w:pStyle w:val="0"/>
        <w:numPr>
          <w:numId w:val="0"/>
        </w:numPr>
        <w:autoSpaceDE w:val="0"/>
        <w:autoSpaceDN w:val="0"/>
        <w:adjustRightInd w:val="0"/>
        <w:spacing w:line="360" w:lineRule="exact"/>
        <w:ind w:left="576" w:leftChars="0" w:firstLine="0" w:firstLineChars="0"/>
        <w:jc w:val="left"/>
        <w:rPr>
          <w:rFonts w:hint="default"/>
          <w:color w:val="000000" w:themeColor="text1"/>
          <w:spacing w:val="-4"/>
        </w:rPr>
      </w:pPr>
    </w:p>
    <w:p>
      <w:pPr>
        <w:pStyle w:val="0"/>
        <w:numPr>
          <w:ilvl w:val="0"/>
          <w:numId w:val="72"/>
        </w:numPr>
        <w:autoSpaceDE w:val="0"/>
        <w:autoSpaceDN w:val="0"/>
        <w:adjustRightInd w:val="0"/>
        <w:spacing w:line="360" w:lineRule="exact"/>
        <w:jc w:val="left"/>
        <w:rPr>
          <w:rFonts w:hint="default"/>
          <w:color w:val="000000" w:themeColor="text1"/>
          <w:spacing w:val="-4"/>
        </w:rPr>
      </w:pPr>
      <w:r>
        <w:rPr>
          <w:rFonts w:hint="eastAsia"/>
          <w:color w:val="000000" w:themeColor="text1"/>
          <w:spacing w:val="-4"/>
        </w:rPr>
        <w:t>障害者働く幸せ創出センター</w:t>
      </w:r>
      <w:r>
        <w:rPr>
          <w:rFonts w:hint="eastAsia"/>
          <w:color w:val="000000" w:themeColor="text1"/>
          <w:spacing w:val="-4"/>
          <w:kern w:val="0"/>
          <w:vertAlign w:val="superscript"/>
        </w:rPr>
        <w:t>＊</w:t>
      </w:r>
      <w:r>
        <w:rPr>
          <w:rFonts w:hint="eastAsia"/>
          <w:color w:val="000000" w:themeColor="text1"/>
          <w:spacing w:val="-4"/>
        </w:rPr>
        <w:t>に設置した農福連携ワンストップ窓口</w:t>
      </w:r>
      <w:r>
        <w:rPr>
          <w:rFonts w:hint="eastAsia"/>
          <w:spacing w:val="-4"/>
          <w:kern w:val="0"/>
          <w:vertAlign w:val="superscript"/>
        </w:rPr>
        <w:t>＊</w:t>
      </w:r>
      <w:r>
        <w:rPr>
          <w:rFonts w:hint="eastAsia"/>
          <w:color w:val="000000" w:themeColor="text1"/>
          <w:spacing w:val="-4"/>
        </w:rPr>
        <w:t>による施設外就労のマッチング支援や農業の専門家による技術的支援等を通じて障害のある人の農業分野への職域拡大を支援します。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障害者支援局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pacing w:val="-4"/>
        </w:rPr>
      </w:pPr>
    </w:p>
    <w:p>
      <w:pPr>
        <w:pStyle w:val="0"/>
        <w:numPr>
          <w:ilvl w:val="0"/>
          <w:numId w:val="72"/>
        </w:numPr>
        <w:autoSpaceDE w:val="0"/>
        <w:autoSpaceDN w:val="0"/>
        <w:adjustRightInd w:val="0"/>
        <w:spacing w:line="360" w:lineRule="exact"/>
        <w:jc w:val="left"/>
        <w:rPr>
          <w:rFonts w:hint="default"/>
          <w:color w:val="000000" w:themeColor="text1"/>
          <w:spacing w:val="-4"/>
        </w:rPr>
      </w:pPr>
      <w:r>
        <w:rPr>
          <w:rFonts w:hint="eastAsia"/>
          <w:color w:val="000000" w:themeColor="text1"/>
          <w:spacing w:val="-4"/>
        </w:rPr>
        <w:t>ふじのくに福産品</w:t>
      </w:r>
      <w:r>
        <w:rPr>
          <w:rFonts w:hint="eastAsia"/>
          <w:spacing w:val="-4"/>
          <w:kern w:val="0"/>
          <w:vertAlign w:val="superscript"/>
        </w:rPr>
        <w:t>＊</w:t>
      </w:r>
      <w:r>
        <w:rPr>
          <w:rFonts w:hint="eastAsia"/>
          <w:color w:val="000000" w:themeColor="text1"/>
          <w:spacing w:val="-4"/>
        </w:rPr>
        <w:t>の付加価値向上を図るため、マーケティングアドバイザーなど専門家の助言、指導による製品改良や新商品開発を支援し、福産品の品質向上やブランド化（</w:t>
      </w:r>
      <w:r>
        <w:rPr>
          <w:rFonts w:hint="eastAsia"/>
          <w:color w:val="auto"/>
          <w:spacing w:val="-4"/>
        </w:rPr>
        <w:t>ふじのくに福産品ブランド認定製品</w:t>
      </w:r>
      <w:r>
        <w:rPr>
          <w:rFonts w:hint="eastAsia"/>
          <w:color w:val="auto"/>
          <w:vertAlign w:val="superscript"/>
        </w:rPr>
        <w:t>＊</w:t>
      </w:r>
      <w:r>
        <w:rPr>
          <w:rFonts w:hint="eastAsia"/>
          <w:color w:val="000000" w:themeColor="text1"/>
          <w:spacing w:val="-4"/>
        </w:rPr>
        <w:t>）を推進します。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障害者支援局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pacing w:val="-4"/>
        </w:rPr>
      </w:pPr>
    </w:p>
    <w:p>
      <w:pPr>
        <w:pStyle w:val="0"/>
        <w:numPr>
          <w:ilvl w:val="0"/>
          <w:numId w:val="72"/>
        </w:numPr>
        <w:autoSpaceDE w:val="0"/>
        <w:autoSpaceDN w:val="0"/>
        <w:adjustRightInd w:val="0"/>
        <w:spacing w:line="360" w:lineRule="exact"/>
        <w:jc w:val="left"/>
        <w:rPr>
          <w:rFonts w:hint="default"/>
          <w:color w:val="000000" w:themeColor="text1"/>
          <w:spacing w:val="-4"/>
        </w:rPr>
      </w:pPr>
      <w:r>
        <w:rPr>
          <w:rFonts w:hint="eastAsia"/>
          <w:color w:val="000000" w:themeColor="text1"/>
          <w:spacing w:val="-4"/>
        </w:rPr>
        <w:t>ふじのくに福産品</w:t>
      </w:r>
      <w:r>
        <w:rPr>
          <w:rFonts w:hint="eastAsia"/>
          <w:spacing w:val="-4"/>
          <w:kern w:val="0"/>
          <w:vertAlign w:val="superscript"/>
        </w:rPr>
        <w:t>＊</w:t>
      </w:r>
      <w:r>
        <w:rPr>
          <w:rFonts w:hint="eastAsia"/>
          <w:color w:val="000000" w:themeColor="text1"/>
          <w:spacing w:val="-4"/>
        </w:rPr>
        <w:t>のオンライン販売を導入する事業所を支援し、ウィズコロナ時代の新しい生活様式に対応した販路拡大を図ります。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障害者支援局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pacing w:val="-4"/>
        </w:rPr>
      </w:pPr>
    </w:p>
    <w:p>
      <w:pPr>
        <w:pStyle w:val="0"/>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【数値目標】</w:t>
      </w:r>
    </w:p>
    <w:tbl>
      <w:tblPr>
        <w:tblStyle w:val="11"/>
        <w:tblW w:w="9687"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6"/>
        <w:gridCol w:w="4883"/>
        <w:gridCol w:w="2194"/>
        <w:gridCol w:w="2194"/>
      </w:tblGrid>
      <w:tr>
        <w:trPr>
          <w:trHeight w:val="354"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rPr>
            </w:pPr>
            <w:r>
              <w:rPr>
                <w:rFonts w:hint="eastAsia"/>
                <w:color w:val="000000" w:themeColor="text1"/>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現状値</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目標値</w:t>
            </w:r>
          </w:p>
        </w:tc>
      </w:tr>
      <w:tr>
        <w:trPr>
          <w:trHeight w:val="104"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rPr>
            </w:pPr>
            <w:r>
              <w:rPr>
                <w:rFonts w:hint="eastAsia"/>
                <w:color w:val="000000" w:themeColor="text1"/>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rPr>
            </w:pPr>
            <w:r>
              <w:rPr>
                <w:rFonts w:hint="eastAsia"/>
                <w:color w:val="000000" w:themeColor="text1"/>
              </w:rPr>
              <w:t>障害者働く幸せ創出センター</w:t>
            </w:r>
            <w:r>
              <w:rPr>
                <w:rFonts w:hint="eastAsia"/>
                <w:color w:val="000000" w:themeColor="text1"/>
                <w:spacing w:val="-4"/>
                <w:kern w:val="0"/>
                <w:vertAlign w:val="superscript"/>
              </w:rPr>
              <w:t>＊</w:t>
            </w:r>
            <w:r>
              <w:rPr>
                <w:rFonts w:hint="eastAsia"/>
                <w:color w:val="000000" w:themeColor="text1"/>
              </w:rPr>
              <w:t>の年間受発注仲介件数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1,071</w:t>
            </w:r>
            <w:r>
              <w:rPr>
                <w:rFonts w:hint="eastAsia"/>
                <w:color w:val="000000" w:themeColor="text1"/>
              </w:rPr>
              <w:t>件</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1,200</w:t>
            </w:r>
            <w:r>
              <w:rPr>
                <w:rFonts w:hint="eastAsia"/>
                <w:color w:val="000000" w:themeColor="text1"/>
              </w:rPr>
              <w:t>件</w:t>
            </w:r>
          </w:p>
        </w:tc>
      </w:tr>
    </w:tbl>
    <w:p>
      <w:pPr>
        <w:pStyle w:val="0"/>
        <w:rPr>
          <w:rFonts w:hint="default"/>
        </w:rPr>
      </w:pPr>
    </w:p>
    <w:p>
      <w:pPr>
        <w:pStyle w:val="0"/>
        <w:outlineLvl w:val="2"/>
        <w:rPr>
          <w:rFonts w:hint="default" w:ascii="ＭＳ ゴシック" w:hAnsi="ＭＳ ゴシック" w:eastAsia="ＭＳ ゴシック"/>
        </w:rPr>
      </w:pPr>
      <w:bookmarkStart w:id="114" w:name="_Toc503474072"/>
      <w:r>
        <w:rPr>
          <w:rFonts w:hint="eastAsia" w:ascii="ＭＳ ゴシック" w:hAnsi="ＭＳ ゴシック" w:eastAsia="ＭＳ ゴシック"/>
        </w:rPr>
        <w:t>（５）物品及び役務サービスの優先調達の推進</w:t>
      </w:r>
      <w:bookmarkEnd w:id="114"/>
    </w:p>
    <w:p>
      <w:pPr>
        <w:pStyle w:val="0"/>
        <w:rPr>
          <w:rFonts w:hint="default"/>
        </w:rPr>
      </w:pPr>
      <w:r>
        <w:rPr>
          <w:rFonts w:hint="eastAsia" w:ascii="ＭＳ ゴシック" w:hAnsi="ＭＳ ゴシック" w:eastAsia="ＭＳ ゴシック"/>
        </w:rPr>
        <w:t>【現状と課題】</w:t>
      </w:r>
    </w:p>
    <w:p>
      <w:pPr>
        <w:pStyle w:val="0"/>
        <w:numPr>
          <w:ilvl w:val="0"/>
          <w:numId w:val="73"/>
        </w:numPr>
        <w:autoSpaceDE w:val="0"/>
        <w:autoSpaceDN w:val="0"/>
        <w:adjustRightInd w:val="0"/>
        <w:spacing w:line="360" w:lineRule="exact"/>
        <w:jc w:val="left"/>
        <w:rPr>
          <w:rFonts w:hint="default"/>
        </w:rPr>
      </w:pPr>
      <w:r>
        <w:rPr>
          <w:rFonts w:hint="eastAsia"/>
          <w:kern w:val="0"/>
        </w:rPr>
        <w:t>国等による障害者就労施設等からの物品等の調達の推進等に関する法律に基づき、県や市町から障害者就労施設等への物品や業務発注の拡大に向けた取組を強化する必要があります。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rPr>
      </w:pPr>
      <w:r>
        <w:rPr>
          <w:rFonts w:hint="eastAsia"/>
          <w:kern w:val="0"/>
        </w:rPr>
        <w:t>障害者就労施設等へ発注する場合に、事業所や製品・サービスに関する情報が少ないという状況があります。また、個々の障害者就労施設等では生産能力に限りがあるため、大量発注への対応が困難な状況にありま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color w:val="000000" w:themeColor="text1"/>
        </w:rPr>
      </w:pPr>
      <w:r>
        <w:rPr>
          <w:rFonts w:hint="eastAsia"/>
          <w:kern w:val="0"/>
        </w:rPr>
        <w:t>県から障害者就労施設等への物品購入と役務サービスの発注合計額は、</w:t>
      </w:r>
      <w:r>
        <w:rPr>
          <w:rFonts w:hint="eastAsia"/>
          <w:color w:val="000000" w:themeColor="text1"/>
          <w:kern w:val="0"/>
        </w:rPr>
        <w:t>2020</w:t>
      </w:r>
      <w:r>
        <w:rPr>
          <w:rFonts w:hint="eastAsia"/>
          <w:color w:val="000000" w:themeColor="text1"/>
          <w:kern w:val="0"/>
        </w:rPr>
        <w:t>年度実績で</w:t>
      </w:r>
      <w:r>
        <w:rPr>
          <w:rFonts w:hint="eastAsia"/>
          <w:color w:val="000000" w:themeColor="text1"/>
          <w:kern w:val="0"/>
        </w:rPr>
        <w:t>5,444</w:t>
      </w:r>
      <w:r>
        <w:rPr>
          <w:rFonts w:hint="eastAsia"/>
          <w:color w:val="000000" w:themeColor="text1"/>
          <w:kern w:val="0"/>
        </w:rPr>
        <w:t>万円となっており、その内訳は</w:t>
      </w:r>
      <w:r>
        <w:rPr>
          <w:rFonts w:hint="eastAsia"/>
          <w:color w:val="000000" w:themeColor="text1"/>
          <w:kern w:val="0"/>
        </w:rPr>
        <w:t>47.3</w:t>
      </w:r>
      <w:r>
        <w:rPr>
          <w:rFonts w:hint="eastAsia"/>
          <w:color w:val="000000" w:themeColor="text1"/>
          <w:kern w:val="0"/>
        </w:rPr>
        <w:t>％が物品購入で、</w:t>
      </w:r>
      <w:r>
        <w:rPr>
          <w:rFonts w:hint="eastAsia"/>
          <w:color w:val="000000" w:themeColor="text1"/>
          <w:kern w:val="0"/>
        </w:rPr>
        <w:t>52.7</w:t>
      </w:r>
      <w:r>
        <w:rPr>
          <w:rFonts w:hint="eastAsia"/>
          <w:color w:val="000000" w:themeColor="text1"/>
          <w:kern w:val="0"/>
        </w:rPr>
        <w:t>％が役務サービスの発注となっています。コロナ禍の影響で各種イベントが中止になったことから、発注が減少したことが影響しています。</w:t>
      </w:r>
    </w:p>
    <w:p>
      <w:pPr>
        <w:pStyle w:val="0"/>
        <w:rPr>
          <w:rFonts w:hint="default"/>
          <w:color w:val="000000" w:themeColor="text1"/>
        </w:rPr>
      </w:pPr>
    </w:p>
    <w:p>
      <w:pPr>
        <w:pStyle w:val="0"/>
        <w:rPr>
          <w:rFonts w:hint="default"/>
          <w:color w:val="000000" w:themeColor="text1"/>
        </w:rPr>
      </w:pPr>
      <w:r>
        <w:rPr>
          <w:rFonts w:hint="eastAsia" w:ascii="ＭＳ ゴシック" w:hAnsi="ＭＳ ゴシック" w:eastAsia="ＭＳ ゴシック"/>
          <w:color w:val="000000" w:themeColor="text1"/>
        </w:rPr>
        <w:t>【県の取組】</w:t>
      </w:r>
    </w:p>
    <w:p>
      <w:pPr>
        <w:pStyle w:val="0"/>
        <w:numPr>
          <w:ilvl w:val="0"/>
          <w:numId w:val="74"/>
        </w:numPr>
        <w:autoSpaceDE w:val="0"/>
        <w:autoSpaceDN w:val="0"/>
        <w:adjustRightInd w:val="0"/>
        <w:spacing w:line="360" w:lineRule="exact"/>
        <w:jc w:val="left"/>
        <w:rPr>
          <w:rFonts w:hint="default"/>
          <w:color w:val="000000" w:themeColor="text1"/>
        </w:rPr>
      </w:pPr>
      <w:r>
        <w:rPr>
          <w:rFonts w:hint="eastAsia"/>
          <w:color w:val="000000" w:themeColor="text1"/>
        </w:rPr>
        <w:t>障害者優先調達を推進するため、「静岡県障害者就労施設等からの物品等の調達推進本部」において、毎年度の調達方針を策定し、全庁を挙げた発注の拡大に取り組みます。また、市町ごとの発注実績や具体的な発注事例を取りまとめて情報提供するなど、市町の受注拡大に向けた取組を支援し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障害者支援局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rPr>
      </w:pPr>
    </w:p>
    <w:p>
      <w:pPr>
        <w:pStyle w:val="0"/>
        <w:numPr>
          <w:ilvl w:val="0"/>
          <w:numId w:val="74"/>
        </w:numPr>
        <w:autoSpaceDE w:val="0"/>
        <w:autoSpaceDN w:val="0"/>
        <w:adjustRightInd w:val="0"/>
        <w:spacing w:line="360" w:lineRule="exact"/>
        <w:jc w:val="left"/>
        <w:rPr>
          <w:rFonts w:hint="default"/>
          <w:color w:val="000000" w:themeColor="text1"/>
        </w:rPr>
      </w:pPr>
      <w:r>
        <w:rPr>
          <w:rFonts w:hint="eastAsia"/>
          <w:color w:val="000000" w:themeColor="text1"/>
        </w:rPr>
        <w:t>単独の事業所では受注困難な大量発注に対応するため、障害者働く幸せ創出センター</w:t>
      </w:r>
      <w:r>
        <w:rPr>
          <w:rFonts w:hint="eastAsia"/>
          <w:color w:val="000000" w:themeColor="text1"/>
          <w:spacing w:val="-4"/>
          <w:kern w:val="0"/>
          <w:vertAlign w:val="superscript"/>
        </w:rPr>
        <w:t>＊</w:t>
      </w:r>
      <w:r>
        <w:rPr>
          <w:rFonts w:hint="eastAsia"/>
          <w:color w:val="000000" w:themeColor="text1"/>
        </w:rPr>
        <w:t>に設置する共同受注窓口の利用を推進し、官公需の受注拡大を図ります。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障害者支援局</w:t>
      </w:r>
      <w:r>
        <w:rPr>
          <w:rFonts w:hint="eastAsia"/>
          <w:color w:val="000000" w:themeColor="text1"/>
          <w:sz w:val="16"/>
        </w:rPr>
        <w:t>]</w:t>
      </w:r>
    </w:p>
    <w:p>
      <w:pPr>
        <w:pStyle w:val="0"/>
        <w:autoSpaceDE w:val="0"/>
        <w:autoSpaceDN w:val="0"/>
        <w:adjustRightInd w:val="0"/>
        <w:spacing w:line="360" w:lineRule="exact"/>
        <w:jc w:val="left"/>
        <w:rPr>
          <w:rFonts w:hint="default"/>
          <w:color w:val="000000" w:themeColor="text1"/>
        </w:rPr>
      </w:pPr>
    </w:p>
    <w:p>
      <w:pPr>
        <w:pStyle w:val="0"/>
        <w:numPr>
          <w:ilvl w:val="0"/>
          <w:numId w:val="74"/>
        </w:numPr>
        <w:autoSpaceDE w:val="0"/>
        <w:autoSpaceDN w:val="0"/>
        <w:adjustRightInd w:val="0"/>
        <w:spacing w:line="360" w:lineRule="exact"/>
        <w:jc w:val="left"/>
        <w:rPr>
          <w:rFonts w:hint="default"/>
          <w:color w:val="000000" w:themeColor="text1"/>
          <w:sz w:val="16"/>
        </w:rPr>
      </w:pPr>
      <w:r>
        <w:rPr>
          <w:rFonts w:hint="eastAsia"/>
          <w:color w:val="000000" w:themeColor="text1"/>
          <w:kern w:val="0"/>
        </w:rPr>
        <w:t>施設管理や建設・建築関連工事、業務委託を所管する部署等での業務発注の推進を図ります。</w:t>
      </w:r>
      <w:r>
        <w:rPr>
          <w:rFonts w:hint="eastAsia"/>
          <w:color w:val="000000" w:themeColor="text1"/>
          <w:sz w:val="16"/>
        </w:rPr>
        <w:t>[</w:t>
      </w:r>
      <w:r>
        <w:rPr>
          <w:rFonts w:hint="eastAsia"/>
          <w:color w:val="000000" w:themeColor="text1"/>
          <w:sz w:val="16"/>
        </w:rPr>
        <w:t>交通基盤部建設経済局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z w:val="16"/>
        </w:rPr>
      </w:pPr>
    </w:p>
    <w:p>
      <w:pPr>
        <w:pStyle w:val="0"/>
        <w:numPr>
          <w:ilvl w:val="0"/>
          <w:numId w:val="74"/>
        </w:numPr>
        <w:autoSpaceDE w:val="0"/>
        <w:autoSpaceDN w:val="0"/>
        <w:adjustRightInd w:val="0"/>
        <w:spacing w:line="360" w:lineRule="exact"/>
        <w:jc w:val="left"/>
        <w:rPr>
          <w:rFonts w:hint="default"/>
          <w:color w:val="000000" w:themeColor="text1"/>
        </w:rPr>
      </w:pPr>
      <w:r>
        <w:rPr>
          <w:rFonts w:hint="eastAsia"/>
          <w:color w:val="000000" w:themeColor="text1"/>
        </w:rPr>
        <w:t>障害者就労施設等への優先発注が官公庁だけでなく、民間事業者へも広がるよう、障害者就労施設等の物品や役務の情報を提供し、発注を促進します。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障害者支援局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rPr>
      </w:pPr>
    </w:p>
    <w:p>
      <w:pPr>
        <w:pStyle w:val="0"/>
        <w:numPr>
          <w:ilvl w:val="0"/>
          <w:numId w:val="74"/>
        </w:numPr>
        <w:autoSpaceDE w:val="0"/>
        <w:autoSpaceDN w:val="0"/>
        <w:adjustRightInd w:val="0"/>
        <w:spacing w:line="360" w:lineRule="exact"/>
        <w:jc w:val="left"/>
        <w:rPr>
          <w:rFonts w:hint="default"/>
          <w:sz w:val="22"/>
        </w:rPr>
      </w:pPr>
      <w:r>
        <w:rPr>
          <w:rFonts w:hint="eastAsia"/>
          <w:color w:val="000000" w:themeColor="text1"/>
          <w:sz w:val="24"/>
        </w:rPr>
        <w:t>「ふじのくに福産品」</w:t>
      </w:r>
      <w:r>
        <w:rPr>
          <w:rFonts w:hint="eastAsia"/>
          <w:spacing w:val="-4"/>
          <w:kern w:val="0"/>
          <w:vertAlign w:val="superscript"/>
        </w:rPr>
        <w:t>＊</w:t>
      </w:r>
      <w:r>
        <w:rPr>
          <w:rFonts w:hint="eastAsia"/>
          <w:color w:val="000000" w:themeColor="text1"/>
          <w:sz w:val="24"/>
        </w:rPr>
        <w:t>など、障害福祉サービス事業所でつくられた商品を購入するなど、人や社会、環境に配慮した「人が幸せになるエシカル消費</w:t>
      </w:r>
      <w:r>
        <w:rPr>
          <w:rFonts w:hint="eastAsia"/>
          <w:color w:val="000000" w:themeColor="text1"/>
          <w:spacing w:val="-4"/>
          <w:kern w:val="0"/>
          <w:vertAlign w:val="superscript"/>
        </w:rPr>
        <w:t>＊</w:t>
      </w:r>
      <w:r>
        <w:rPr>
          <w:rFonts w:hint="eastAsia"/>
          <w:color w:val="000000" w:themeColor="text1"/>
          <w:sz w:val="24"/>
        </w:rPr>
        <w:t>」を推進します。</w:t>
      </w:r>
      <w:r>
        <w:rPr>
          <w:rFonts w:hint="eastAsia"/>
          <w:color w:val="000000" w:themeColor="text1"/>
          <w:sz w:val="16"/>
        </w:rPr>
        <w:t xml:space="preserve"> </w:t>
      </w:r>
      <w:r>
        <w:rPr>
          <w:rFonts w:hint="eastAsia"/>
          <w:sz w:val="16"/>
        </w:rPr>
        <w:t>[</w:t>
      </w:r>
      <w:r>
        <w:rPr>
          <w:rFonts w:hint="eastAsia"/>
          <w:sz w:val="16"/>
        </w:rPr>
        <w:t>くらし・環境部県民生活局</w:t>
      </w:r>
      <w:r>
        <w:rPr>
          <w:rFonts w:hint="eastAsia"/>
          <w:sz w:val="16"/>
        </w:rPr>
        <w:t>]</w:t>
      </w:r>
    </w:p>
    <w:p>
      <w:pPr>
        <w:pStyle w:val="0"/>
        <w:rPr>
          <w:rFonts w:hint="default" w:ascii="ＭＳ ゴシック" w:hAnsi="ＭＳ ゴシック" w:eastAsia="ＭＳ ゴシック"/>
          <w:sz w:val="26"/>
          <w:u w:val="single" w:color="auto"/>
        </w:rPr>
      </w:pPr>
      <w:r>
        <w:rPr>
          <w:rFonts w:hint="eastAsia"/>
        </w:rPr>
        <w:br w:type="page"/>
      </w:r>
      <w:bookmarkStart w:id="115" w:name="_Toc503474073"/>
      <w:r>
        <w:rPr>
          <w:rFonts w:hint="eastAsia" w:ascii="ＭＳ ゴシック" w:hAnsi="ＭＳ ゴシック" w:eastAsia="ＭＳ ゴシック"/>
          <w:sz w:val="26"/>
          <w:u w:val="single" w:color="auto"/>
        </w:rPr>
        <w:t>５　地域での保健・医療体制の充実</w:t>
      </w:r>
      <w:bookmarkEnd w:id="115"/>
    </w:p>
    <w:p>
      <w:pPr>
        <w:pStyle w:val="0"/>
        <w:outlineLvl w:val="2"/>
        <w:rPr>
          <w:rFonts w:hint="default" w:ascii="ＭＳ ゴシック" w:hAnsi="ＭＳ ゴシック" w:eastAsia="ＭＳ ゴシック"/>
        </w:rPr>
      </w:pPr>
      <w:bookmarkStart w:id="116" w:name="_Toc503474074"/>
      <w:r>
        <w:rPr>
          <w:rFonts w:hint="eastAsia" w:ascii="ＭＳ ゴシック" w:hAnsi="ＭＳ ゴシック" w:eastAsia="ＭＳ ゴシック"/>
        </w:rPr>
        <w:t>（１）健康づくりの推進</w:t>
      </w:r>
      <w:bookmarkEnd w:id="116"/>
    </w:p>
    <w:p>
      <w:pPr>
        <w:pStyle w:val="0"/>
        <w:rPr>
          <w:rFonts w:hint="default"/>
        </w:rPr>
      </w:pPr>
      <w:r>
        <w:rPr>
          <w:rFonts w:hint="eastAsia" w:ascii="ＭＳ ゴシック" w:hAnsi="ＭＳ ゴシック" w:eastAsia="ＭＳ ゴシック"/>
        </w:rPr>
        <w:t>【現状と課題】</w:t>
      </w:r>
    </w:p>
    <w:p>
      <w:pPr>
        <w:pStyle w:val="0"/>
        <w:numPr>
          <w:ilvl w:val="0"/>
          <w:numId w:val="75"/>
        </w:numPr>
        <w:autoSpaceDE w:val="0"/>
        <w:autoSpaceDN w:val="0"/>
        <w:adjustRightInd w:val="0"/>
        <w:spacing w:line="360" w:lineRule="exact"/>
        <w:jc w:val="left"/>
        <w:rPr>
          <w:rFonts w:hint="default"/>
          <w:color w:val="000000" w:themeColor="text1"/>
        </w:rPr>
      </w:pPr>
      <w:r>
        <w:rPr>
          <w:rFonts w:hint="eastAsia"/>
          <w:kern w:val="0"/>
        </w:rPr>
        <w:t>「障害のある方の実態調査」（</w:t>
      </w:r>
      <w:r>
        <w:rPr>
          <w:rFonts w:hint="eastAsia"/>
          <w:kern w:val="0"/>
        </w:rPr>
        <w:t>2020</w:t>
      </w:r>
      <w:r>
        <w:rPr>
          <w:rFonts w:hint="eastAsia"/>
          <w:kern w:val="0"/>
        </w:rPr>
        <w:t>年度）によると、現在、悩んでいることとして、前回調査から変わらず「健康や身体のこと」という意見が</w:t>
      </w:r>
      <w:r>
        <w:rPr>
          <w:rFonts w:hint="eastAsia"/>
          <w:color w:val="000000" w:themeColor="text1"/>
          <w:kern w:val="0"/>
        </w:rPr>
        <w:t>32.4</w:t>
      </w:r>
      <w:r>
        <w:rPr>
          <w:rFonts w:hint="eastAsia"/>
          <w:color w:val="000000" w:themeColor="text1"/>
          <w:kern w:val="0"/>
        </w:rPr>
        <w:t>％と最も多く、障害のある人の多くが自身の健康に不安を抱いていることが分かります。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36"/>
        </w:numPr>
        <w:autoSpaceDE w:val="0"/>
        <w:autoSpaceDN w:val="0"/>
        <w:adjustRightInd w:val="0"/>
        <w:spacing w:line="360" w:lineRule="exact"/>
        <w:jc w:val="left"/>
        <w:rPr>
          <w:rFonts w:hint="default"/>
          <w:color w:val="000000" w:themeColor="text1"/>
        </w:rPr>
      </w:pPr>
      <w:r>
        <w:rPr>
          <w:rFonts w:hint="eastAsia"/>
          <w:color w:val="000000" w:themeColor="text1"/>
          <w:kern w:val="0"/>
        </w:rPr>
        <w:t>生涯を通じて健康に暮らせるように、疾病等の予防、早期発見を目指した県民の健康づくりを推進していく必要があります。</w:t>
      </w:r>
    </w:p>
    <w:p>
      <w:pPr>
        <w:pStyle w:val="0"/>
        <w:autoSpaceDE w:val="0"/>
        <w:autoSpaceDN w:val="0"/>
        <w:adjustRightInd w:val="0"/>
        <w:jc w:val="left"/>
        <w:rPr>
          <w:rFonts w:hint="default"/>
          <w:color w:val="000000" w:themeColor="text1"/>
        </w:rPr>
      </w:pPr>
    </w:p>
    <w:p>
      <w:pPr>
        <w:pStyle w:val="0"/>
        <w:autoSpaceDE w:val="0"/>
        <w:autoSpaceDN w:val="0"/>
        <w:adjustRightInd w:val="0"/>
        <w:jc w:val="left"/>
        <w:rPr>
          <w:rFonts w:hint="default"/>
          <w:color w:val="000000" w:themeColor="text1"/>
        </w:rPr>
      </w:pPr>
      <w:r>
        <w:rPr>
          <w:rFonts w:hint="eastAsia" w:ascii="ＭＳ ゴシック" w:hAnsi="ＭＳ ゴシック" w:eastAsia="ＭＳ ゴシック"/>
          <w:color w:val="000000" w:themeColor="text1"/>
        </w:rPr>
        <w:t>【県の取組】</w:t>
      </w:r>
    </w:p>
    <w:p>
      <w:pPr>
        <w:pStyle w:val="0"/>
        <w:numPr>
          <w:ilvl w:val="0"/>
          <w:numId w:val="76"/>
        </w:numPr>
        <w:autoSpaceDE w:val="0"/>
        <w:autoSpaceDN w:val="0"/>
        <w:adjustRightInd w:val="0"/>
        <w:spacing w:line="360" w:lineRule="exact"/>
        <w:jc w:val="left"/>
        <w:rPr>
          <w:rFonts w:hint="default"/>
          <w:color w:val="000000" w:themeColor="text1"/>
          <w:spacing w:val="-4"/>
          <w:kern w:val="0"/>
        </w:rPr>
      </w:pPr>
      <w:r>
        <w:rPr>
          <w:rFonts w:hint="eastAsia"/>
          <w:color w:val="000000" w:themeColor="text1"/>
          <w:kern w:val="0"/>
        </w:rPr>
        <w:t>市町や保険者等関係機関と連携し、特定健診、特定保健指導の受診率向上や糖尿病性腎症の重症化予防などに取り組み、生活習慣病の発症予防、早期発見、重症化予防を推進します。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健康局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pacing w:val="-4"/>
          <w:kern w:val="0"/>
        </w:rPr>
      </w:pPr>
    </w:p>
    <w:p>
      <w:pPr>
        <w:pStyle w:val="0"/>
        <w:numPr>
          <w:ilvl w:val="0"/>
          <w:numId w:val="76"/>
        </w:numPr>
        <w:autoSpaceDE w:val="0"/>
        <w:autoSpaceDN w:val="0"/>
        <w:adjustRightInd w:val="0"/>
        <w:spacing w:line="360" w:lineRule="exact"/>
        <w:jc w:val="left"/>
        <w:rPr>
          <w:rFonts w:hint="default"/>
          <w:color w:val="000000" w:themeColor="text1"/>
          <w:kern w:val="0"/>
        </w:rPr>
      </w:pPr>
      <w:r>
        <w:rPr>
          <w:rFonts w:hint="eastAsia"/>
          <w:color w:val="000000" w:themeColor="text1"/>
          <w:kern w:val="0"/>
        </w:rPr>
        <w:t>子どもの頃からの正しい生活習慣の定着や働く世代に向けた事業所における健康経営の普及、高齢者に向けた社会参加機会の創出に取り組むなど、ライフステージに応じた健康づくりを推進します。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健康局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kern w:val="0"/>
        </w:rPr>
      </w:pPr>
    </w:p>
    <w:p>
      <w:pPr>
        <w:pStyle w:val="0"/>
        <w:numPr>
          <w:ilvl w:val="0"/>
          <w:numId w:val="76"/>
        </w:numPr>
        <w:autoSpaceDE w:val="0"/>
        <w:autoSpaceDN w:val="0"/>
        <w:adjustRightInd w:val="0"/>
        <w:spacing w:line="360" w:lineRule="exact"/>
        <w:jc w:val="left"/>
        <w:rPr>
          <w:rFonts w:hint="default"/>
          <w:color w:val="000000" w:themeColor="text1"/>
        </w:rPr>
      </w:pPr>
      <w:r>
        <w:rPr>
          <w:rFonts w:hint="eastAsia"/>
          <w:color w:val="000000" w:themeColor="text1"/>
          <w:kern w:val="0"/>
        </w:rPr>
        <w:t>障害のある人の歯科保健の向上を図るため、関係機関との連携により、歯科健診の推進や歯科専門職への研修等を通じ、歯科保健医療サービスの充実を図ります。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r>
        <w:rPr>
          <w:rFonts w:hint="eastAsia"/>
          <w:color w:val="000000" w:themeColor="text1"/>
          <w:spacing w:val="-4"/>
          <w:kern w:val="0"/>
          <w:sz w:val="16"/>
        </w:rPr>
        <w:t>、</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健康局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rPr>
      </w:pPr>
    </w:p>
    <w:p>
      <w:pPr>
        <w:pStyle w:val="0"/>
        <w:numPr>
          <w:ilvl w:val="0"/>
          <w:numId w:val="76"/>
        </w:numPr>
        <w:autoSpaceDE w:val="0"/>
        <w:autoSpaceDN w:val="0"/>
        <w:adjustRightInd w:val="0"/>
        <w:spacing w:line="360" w:lineRule="exact"/>
        <w:jc w:val="left"/>
        <w:rPr>
          <w:rFonts w:hint="default"/>
          <w:spacing w:val="-4"/>
          <w:kern w:val="0"/>
          <w:sz w:val="16"/>
        </w:rPr>
      </w:pPr>
      <w:r>
        <w:rPr>
          <w:rFonts w:hint="eastAsia"/>
          <w:kern w:val="0"/>
        </w:rPr>
        <w:t>精神疾患を予防・治療し、こころの健康を保持・増進させるため、ライフステージに応じたこころの健康対策を推進するとともに、家庭・学校・職場・地域など各生活の場における関係者と連携し、こころの健康づくりを推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sz w:val="16"/>
        </w:rPr>
      </w:pPr>
    </w:p>
    <w:p>
      <w:pPr>
        <w:pStyle w:val="0"/>
        <w:numPr>
          <w:ilvl w:val="0"/>
          <w:numId w:val="76"/>
        </w:numPr>
        <w:autoSpaceDE w:val="0"/>
        <w:autoSpaceDN w:val="0"/>
        <w:adjustRightInd w:val="0"/>
        <w:spacing w:line="360" w:lineRule="exact"/>
        <w:jc w:val="left"/>
        <w:rPr>
          <w:rFonts w:hint="default"/>
          <w:spacing w:val="-4"/>
          <w:kern w:val="0"/>
        </w:rPr>
      </w:pPr>
      <w:r>
        <w:rPr>
          <w:rFonts w:hint="eastAsia"/>
          <w:spacing w:val="-4"/>
          <w:kern w:val="0"/>
        </w:rPr>
        <w:t>学校等における危機発生時に、児童生徒や学校職員等への早期にこころのケアを行うため、混乱している現場へこころの緊急支援チームを派遣し、こころの健康管理対策を支援します。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rPr>
      </w:pPr>
    </w:p>
    <w:p>
      <w:pPr>
        <w:pStyle w:val="0"/>
        <w:rPr>
          <w:rFonts w:hint="default"/>
        </w:rPr>
      </w:pPr>
      <w:r>
        <w:rPr>
          <w:rFonts w:hint="eastAsia" w:ascii="ＭＳ ゴシック" w:hAnsi="ＭＳ ゴシック" w:eastAsia="ＭＳ ゴシック"/>
        </w:rPr>
        <w:t>【数値目標】</w:t>
      </w:r>
    </w:p>
    <w:tbl>
      <w:tblPr>
        <w:tblStyle w:val="11"/>
        <w:tblW w:w="9664"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4"/>
        <w:gridCol w:w="4872"/>
        <w:gridCol w:w="2189"/>
        <w:gridCol w:w="2189"/>
      </w:tblGrid>
      <w:tr>
        <w:trPr>
          <w:trHeight w:val="188"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107"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障害者歯科対応研修受講者数（</w:t>
            </w:r>
            <w:r>
              <w:rPr>
                <w:rFonts w:hint="eastAsia"/>
              </w:rPr>
              <w:t>2013</w:t>
            </w:r>
            <w:r>
              <w:rPr>
                <w:rFonts w:hint="eastAsia"/>
              </w:rPr>
              <w:t>年までは障害者歯科相談医数）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2016</w:t>
            </w:r>
            <w:r>
              <w:rPr>
                <w:rFonts w:hint="eastAsia"/>
              </w:rPr>
              <w:t>年度）</w:t>
            </w:r>
          </w:p>
          <w:p>
            <w:pPr>
              <w:pStyle w:val="0"/>
              <w:spacing w:line="360" w:lineRule="exact"/>
              <w:jc w:val="center"/>
              <w:rPr>
                <w:rFonts w:hint="default"/>
              </w:rPr>
            </w:pPr>
            <w:r>
              <w:rPr>
                <w:rFonts w:hint="eastAsia"/>
              </w:rPr>
              <w:t>454</w:t>
            </w:r>
            <w:r>
              <w:rPr>
                <w:rFonts w:hint="eastAsia"/>
              </w:rPr>
              <w:t>人</w:t>
            </w:r>
          </w:p>
        </w:tc>
        <w:tc>
          <w:tcPr>
            <w:tcW w:w="2189" w:type="dxa"/>
            <w:vAlign w:val="center"/>
          </w:tcPr>
          <w:p>
            <w:pPr>
              <w:pStyle w:val="0"/>
              <w:spacing w:line="360" w:lineRule="exact"/>
              <w:jc w:val="center"/>
              <w:rPr>
                <w:rFonts w:hint="default"/>
              </w:rPr>
            </w:pPr>
            <w:r>
              <w:rPr>
                <w:rFonts w:hint="eastAsia"/>
              </w:rPr>
              <w:t>（</w:t>
            </w:r>
            <w:r>
              <w:rPr>
                <w:rFonts w:hint="eastAsia"/>
              </w:rPr>
              <w:t>2021</w:t>
            </w:r>
            <w:r>
              <w:rPr>
                <w:rFonts w:hint="eastAsia"/>
              </w:rPr>
              <w:t>年度）</w:t>
            </w:r>
          </w:p>
          <w:p>
            <w:pPr>
              <w:pStyle w:val="0"/>
              <w:spacing w:line="360" w:lineRule="exact"/>
              <w:jc w:val="center"/>
              <w:rPr>
                <w:rFonts w:hint="default"/>
              </w:rPr>
            </w:pPr>
            <w:r>
              <w:rPr>
                <w:rFonts w:hint="eastAsia"/>
              </w:rPr>
              <w:t>550</w:t>
            </w:r>
            <w:r>
              <w:rPr>
                <w:rFonts w:hint="eastAsia"/>
              </w:rPr>
              <w:t>人</w:t>
            </w:r>
          </w:p>
        </w:tc>
      </w:tr>
    </w:tbl>
    <w:p>
      <w:pPr>
        <w:pStyle w:val="0"/>
        <w:rPr>
          <w:rFonts w:hint="default" w:ascii="ＭＳ ゴシック" w:hAnsi="ＭＳ ゴシック" w:eastAsia="ＭＳ ゴシック"/>
          <w:b w:val="1"/>
        </w:rPr>
      </w:pPr>
    </w:p>
    <w:p>
      <w:pPr>
        <w:pStyle w:val="0"/>
        <w:rPr>
          <w:rFonts w:hint="default" w:ascii="ＭＳ ゴシック" w:hAnsi="ＭＳ ゴシック" w:eastAsia="ＭＳ ゴシック"/>
          <w:b w:val="1"/>
        </w:rPr>
      </w:pPr>
    </w:p>
    <w:p>
      <w:pPr>
        <w:pStyle w:val="0"/>
        <w:rPr>
          <w:rFonts w:hint="default" w:ascii="ＭＳ ゴシック" w:hAnsi="ＭＳ ゴシック" w:eastAsia="ＭＳ ゴシック"/>
          <w:b w:val="1"/>
        </w:rPr>
      </w:pPr>
    </w:p>
    <w:p>
      <w:pPr>
        <w:pStyle w:val="0"/>
        <w:outlineLvl w:val="2"/>
        <w:rPr>
          <w:rFonts w:hint="default" w:ascii="ＭＳ ゴシック" w:hAnsi="ＭＳ ゴシック" w:eastAsia="ＭＳ ゴシック"/>
        </w:rPr>
      </w:pPr>
      <w:bookmarkStart w:id="117" w:name="_Toc503474076"/>
      <w:r>
        <w:rPr>
          <w:rFonts w:hint="eastAsia" w:ascii="ＭＳ ゴシック" w:hAnsi="ＭＳ ゴシック" w:eastAsia="ＭＳ ゴシック"/>
        </w:rPr>
        <w:t>（２）自殺総合対策の推進</w:t>
      </w:r>
      <w:bookmarkEnd w:id="117"/>
    </w:p>
    <w:p>
      <w:pPr>
        <w:pStyle w:val="0"/>
        <w:rPr>
          <w:rFonts w:hint="default"/>
        </w:rPr>
      </w:pPr>
      <w:r>
        <w:rPr>
          <w:rFonts w:hint="eastAsia" w:ascii="ＭＳ ゴシック" w:hAnsi="ＭＳ ゴシック" w:eastAsia="ＭＳ ゴシック"/>
        </w:rPr>
        <w:t>【現状と課題】</w:t>
      </w:r>
    </w:p>
    <w:p>
      <w:pPr>
        <w:pStyle w:val="0"/>
        <w:numPr>
          <w:ilvl w:val="0"/>
          <w:numId w:val="77"/>
        </w:numPr>
        <w:autoSpaceDE w:val="0"/>
        <w:autoSpaceDN w:val="0"/>
        <w:adjustRightInd w:val="0"/>
        <w:spacing w:line="360" w:lineRule="exact"/>
        <w:jc w:val="left"/>
        <w:rPr>
          <w:rFonts w:hint="default"/>
          <w:color w:val="000000" w:themeColor="text1"/>
        </w:rPr>
      </w:pPr>
      <w:r>
        <w:rPr>
          <w:rFonts w:hint="eastAsia"/>
        </w:rPr>
        <w:t>本県の自殺者数は、</w:t>
      </w:r>
      <w:r>
        <w:rPr>
          <w:rFonts w:hint="eastAsia"/>
        </w:rPr>
        <w:t>2011</w:t>
      </w:r>
      <w:r>
        <w:rPr>
          <w:rFonts w:hint="eastAsia"/>
        </w:rPr>
        <w:t>年以降減少傾向にあります。年代別自殺者数では、全体が減少傾向にある中、</w:t>
      </w:r>
      <w:r>
        <w:rPr>
          <w:rFonts w:hint="eastAsia"/>
        </w:rPr>
        <w:t>30</w:t>
      </w:r>
      <w:r>
        <w:rPr>
          <w:rFonts w:hint="eastAsia"/>
        </w:rPr>
        <w:t>歳代以下の若年層の自殺者数が占める割合が増えており、かつ、年齢階級別の死因順位では、</w:t>
      </w:r>
      <w:r>
        <w:rPr>
          <w:rFonts w:hint="eastAsia"/>
          <w:color w:val="auto"/>
        </w:rPr>
        <w:t>10</w:t>
      </w:r>
      <w:r>
        <w:rPr>
          <w:rFonts w:hint="eastAsia"/>
          <w:color w:val="auto"/>
        </w:rPr>
        <w:t>歳代から</w:t>
      </w:r>
      <w:r>
        <w:rPr>
          <w:rFonts w:hint="eastAsia"/>
        </w:rPr>
        <w:t>30</w:t>
      </w:r>
      <w:r>
        <w:rPr>
          <w:rFonts w:hint="eastAsia"/>
        </w:rPr>
        <w:t>歳代以下では自殺が第１位であることから、若年層の自殺対策を</w:t>
      </w:r>
      <w:r>
        <w:rPr>
          <w:rFonts w:hint="eastAsia"/>
          <w:color w:val="000000" w:themeColor="text1"/>
        </w:rPr>
        <w:t>引き続き推進する必要があります。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77"/>
        </w:numPr>
        <w:autoSpaceDE w:val="0"/>
        <w:autoSpaceDN w:val="0"/>
        <w:adjustRightInd w:val="0"/>
        <w:spacing w:line="360" w:lineRule="exact"/>
        <w:jc w:val="left"/>
        <w:rPr>
          <w:rFonts w:hint="default"/>
        </w:rPr>
      </w:pPr>
      <w:r>
        <w:rPr>
          <w:rFonts w:hint="eastAsia"/>
          <w:color w:val="000000" w:themeColor="text1"/>
        </w:rPr>
        <w:t>自殺は、健康問題、経済・生活問題、人間関係の問題等、様々な要因が複雑に関係していることから、自殺に追い込まれる状況に陥らないよう、社会全体の自殺リスクを低下させるためには、</w:t>
      </w:r>
      <w:r>
        <w:rPr>
          <w:rFonts w:hint="eastAsia"/>
        </w:rPr>
        <w:t>社会・経済的な視点を含む包括的な取組が重要です。また、このような包括的な取組を実施するためには、様々な分野の施策、人々や組織が密接に連携する必要があります。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numPr>
          <w:ilvl w:val="0"/>
          <w:numId w:val="78"/>
        </w:numPr>
        <w:autoSpaceDE w:val="0"/>
        <w:autoSpaceDN w:val="0"/>
        <w:adjustRightInd w:val="0"/>
        <w:spacing w:line="360" w:lineRule="exact"/>
        <w:jc w:val="left"/>
        <w:rPr>
          <w:rFonts w:hint="default"/>
        </w:rPr>
      </w:pPr>
      <w:r>
        <w:rPr>
          <w:rFonts w:hint="eastAsia"/>
        </w:rPr>
        <w:t>県、市町、多様な主体が一体となり、地域における自殺対策ネットワークを作り、総合的に自殺対策を行います。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78"/>
        </w:numPr>
        <w:autoSpaceDE w:val="0"/>
        <w:autoSpaceDN w:val="0"/>
        <w:adjustRightInd w:val="0"/>
        <w:spacing w:line="360" w:lineRule="exact"/>
        <w:jc w:val="left"/>
        <w:rPr>
          <w:rFonts w:hint="default"/>
        </w:rPr>
      </w:pPr>
      <w:r>
        <w:rPr>
          <w:rFonts w:hint="eastAsia"/>
          <w:kern w:val="0"/>
        </w:rPr>
        <w:t>周囲の人の自殺の危険を示すサインに気づき、困難を抱えている人の心情を踏まえた適切な対応を図ることができるゲートキーパー</w:t>
      </w:r>
      <w:r>
        <w:rPr>
          <w:rFonts w:hint="eastAsia"/>
          <w:kern w:val="0"/>
          <w:vertAlign w:val="superscript"/>
        </w:rPr>
        <w:t>＊</w:t>
      </w:r>
      <w:r>
        <w:rPr>
          <w:rFonts w:hint="eastAsia"/>
          <w:kern w:val="0"/>
        </w:rPr>
        <w:t>の役割を担う人材を養成し、自殺の危険性の高い人の早期発見、早期対応を図ります。また、自殺の危険性が高い相談者に対応するために支援者の資質向上を図ります。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rPr>
      </w:pPr>
    </w:p>
    <w:p>
      <w:pPr>
        <w:pStyle w:val="0"/>
        <w:numPr>
          <w:ilvl w:val="0"/>
          <w:numId w:val="78"/>
        </w:numPr>
        <w:autoSpaceDE w:val="0"/>
        <w:autoSpaceDN w:val="0"/>
        <w:adjustRightInd w:val="0"/>
        <w:spacing w:line="360" w:lineRule="exact"/>
        <w:jc w:val="left"/>
        <w:rPr>
          <w:rFonts w:hint="default"/>
          <w:sz w:val="22"/>
        </w:rPr>
      </w:pPr>
      <w:r>
        <w:rPr>
          <w:rFonts w:hint="eastAsia"/>
        </w:rPr>
        <w:t>自殺の原因は様々であり、複数の要因が複雑に絡み合っているため、</w:t>
      </w:r>
      <w:r>
        <w:rPr>
          <w:rFonts w:hint="eastAsia"/>
        </w:rPr>
        <w:t>1</w:t>
      </w:r>
      <w:r>
        <w:rPr>
          <w:rFonts w:hint="eastAsia"/>
        </w:rPr>
        <w:t>つの原因を解決するだけでは、自殺を防ぐことはできないことから、社会における自殺のリスクを減らし、生きることの支援を通じて、社会全体で総合的に自殺対策を推進します。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z w:val="22"/>
        </w:rPr>
      </w:pPr>
    </w:p>
    <w:p>
      <w:pPr>
        <w:pStyle w:val="0"/>
        <w:numPr>
          <w:ilvl w:val="0"/>
          <w:numId w:val="78"/>
        </w:numPr>
        <w:autoSpaceDE w:val="0"/>
        <w:autoSpaceDN w:val="0"/>
        <w:adjustRightInd w:val="0"/>
        <w:spacing w:line="360" w:lineRule="exact"/>
        <w:jc w:val="left"/>
        <w:rPr>
          <w:rFonts w:hint="default"/>
          <w:sz w:val="22"/>
        </w:rPr>
      </w:pPr>
      <w:r>
        <w:rPr>
          <w:rFonts w:hint="eastAsia"/>
        </w:rPr>
        <w:t>悩みを抱えている人が相談しやすい環境を整備するため、市町等と連携した地域における相談体制の充実を図ります。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z w:val="22"/>
        </w:rPr>
      </w:pPr>
    </w:p>
    <w:p>
      <w:pPr>
        <w:pStyle w:val="0"/>
        <w:numPr>
          <w:ilvl w:val="0"/>
          <w:numId w:val="78"/>
        </w:numPr>
        <w:autoSpaceDE w:val="0"/>
        <w:autoSpaceDN w:val="0"/>
        <w:adjustRightInd w:val="0"/>
        <w:spacing w:line="360" w:lineRule="exact"/>
        <w:jc w:val="left"/>
        <w:rPr>
          <w:rFonts w:hint="default"/>
          <w:color w:val="000000" w:themeColor="text1"/>
          <w:sz w:val="22"/>
        </w:rPr>
      </w:pPr>
      <w:r>
        <w:rPr>
          <w:rFonts w:hint="eastAsia"/>
        </w:rPr>
        <w:t>若年層向けの相談窓口の充実や教育委員会との連携、</w:t>
      </w:r>
      <w:r>
        <w:rPr>
          <w:rFonts w:hint="eastAsia"/>
          <w:color w:val="000000" w:themeColor="text1"/>
        </w:rPr>
        <w:t>ＬＩＮＥやインターネットの検索連動型広告等を活用した相談窓口の周知により、若年層の自殺対策をさらに推進します。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ind w:left="576"/>
        <w:jc w:val="left"/>
        <w:rPr>
          <w:rFonts w:hint="default"/>
          <w:color w:val="000000" w:themeColor="text1"/>
          <w:sz w:val="22"/>
        </w:rPr>
      </w:pPr>
    </w:p>
    <w:p>
      <w:pPr>
        <w:pStyle w:val="0"/>
        <w:numPr>
          <w:ilvl w:val="0"/>
          <w:numId w:val="78"/>
        </w:numPr>
        <w:autoSpaceDE w:val="0"/>
        <w:autoSpaceDN w:val="0"/>
        <w:adjustRightInd w:val="0"/>
        <w:spacing w:line="360" w:lineRule="exact"/>
        <w:jc w:val="left"/>
        <w:rPr>
          <w:rFonts w:hint="default"/>
          <w:color w:val="000000" w:themeColor="text1"/>
          <w:sz w:val="22"/>
        </w:rPr>
      </w:pPr>
      <w:r>
        <w:rPr>
          <w:rFonts w:hint="eastAsia"/>
          <w:color w:val="000000" w:themeColor="text1"/>
        </w:rPr>
        <w:t>若者が自ら抱える問題を解決し、適切に対処できる力を身につけることができるよう支援します。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ind w:left="576"/>
        <w:jc w:val="left"/>
        <w:rPr>
          <w:rFonts w:hint="default"/>
          <w:color w:val="000000" w:themeColor="text1"/>
          <w:sz w:val="22"/>
        </w:rPr>
      </w:pPr>
    </w:p>
    <w:p>
      <w:pPr>
        <w:pStyle w:val="0"/>
        <w:autoSpaceDE w:val="0"/>
        <w:autoSpaceDN w:val="0"/>
        <w:adjustRightInd w:val="0"/>
        <w:spacing w:line="360" w:lineRule="exact"/>
        <w:ind w:left="576"/>
        <w:jc w:val="left"/>
        <w:rPr>
          <w:rFonts w:hint="default"/>
          <w:color w:val="000000" w:themeColor="text1"/>
          <w:sz w:val="22"/>
        </w:rPr>
      </w:pPr>
    </w:p>
    <w:p>
      <w:pPr>
        <w:pStyle w:val="0"/>
        <w:autoSpaceDE w:val="0"/>
        <w:autoSpaceDN w:val="0"/>
        <w:adjustRightInd w:val="0"/>
        <w:spacing w:line="360" w:lineRule="exact"/>
        <w:ind w:left="576"/>
        <w:jc w:val="left"/>
        <w:rPr>
          <w:rFonts w:hint="default"/>
          <w:color w:val="000000" w:themeColor="text1"/>
          <w:sz w:val="22"/>
        </w:rPr>
      </w:pPr>
    </w:p>
    <w:p>
      <w:pPr>
        <w:pStyle w:val="0"/>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【数値目標】</w:t>
      </w:r>
    </w:p>
    <w:tbl>
      <w:tblPr>
        <w:tblStyle w:val="11"/>
        <w:tblW w:w="9680"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31"/>
        <w:gridCol w:w="4871"/>
        <w:gridCol w:w="2189"/>
        <w:gridCol w:w="2189"/>
      </w:tblGrid>
      <w:tr>
        <w:trPr>
          <w:trHeight w:val="213" w:hRule="atLeast"/>
        </w:trPr>
        <w:tc>
          <w:tcPr>
            <w:tcW w:w="43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rPr>
            </w:pPr>
            <w:r>
              <w:rPr>
                <w:rFonts w:hint="eastAsia"/>
                <w:color w:val="000000" w:themeColor="text1"/>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現状値</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目標値</w:t>
            </w:r>
          </w:p>
        </w:tc>
      </w:tr>
      <w:tr>
        <w:trPr>
          <w:trHeight w:val="260" w:hRule="atLeast"/>
        </w:trPr>
        <w:tc>
          <w:tcPr>
            <w:tcW w:w="43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spacing w:val="-4"/>
              </w:rPr>
            </w:pPr>
            <w:r>
              <w:rPr>
                <w:rFonts w:hint="eastAsia"/>
                <w:color w:val="000000" w:themeColor="text1"/>
                <w:spacing w:val="-4"/>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spacing w:val="-4"/>
              </w:rPr>
            </w:pPr>
            <w:r>
              <w:rPr>
                <w:rFonts w:hint="eastAsia"/>
                <w:color w:val="000000" w:themeColor="text1"/>
                <w:spacing w:val="-4"/>
              </w:rPr>
              <w:t>自殺対策ネットワーク設置市町数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27</w:t>
            </w:r>
            <w:r>
              <w:rPr>
                <w:rFonts w:hint="eastAsia"/>
                <w:color w:val="000000" w:themeColor="text1"/>
              </w:rPr>
              <w:t>市</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全市町</w:t>
            </w:r>
          </w:p>
        </w:tc>
      </w:tr>
      <w:tr>
        <w:trPr>
          <w:trHeight w:val="260" w:hRule="atLeast"/>
        </w:trPr>
        <w:tc>
          <w:tcPr>
            <w:tcW w:w="43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spacing w:val="-4"/>
              </w:rPr>
            </w:pPr>
            <w:r>
              <w:rPr>
                <w:rFonts w:hint="eastAsia"/>
                <w:color w:val="000000" w:themeColor="text1"/>
                <w:spacing w:val="-4"/>
              </w:rPr>
              <w:t>２</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spacing w:val="-4"/>
              </w:rPr>
            </w:pPr>
            <w:r>
              <w:rPr>
                <w:rFonts w:hint="eastAsia"/>
                <w:color w:val="000000" w:themeColor="text1"/>
                <w:spacing w:val="-4"/>
              </w:rPr>
              <w:t>自殺による死亡者数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(2020</w:t>
            </w:r>
            <w:r>
              <w:rPr>
                <w:rFonts w:hint="eastAsia"/>
                <w:color w:val="000000" w:themeColor="text1"/>
              </w:rPr>
              <w:t>年）</w:t>
            </w:r>
          </w:p>
          <w:p>
            <w:pPr>
              <w:pStyle w:val="0"/>
              <w:spacing w:line="360" w:lineRule="exact"/>
              <w:jc w:val="center"/>
              <w:rPr>
                <w:rFonts w:hint="default"/>
                <w:color w:val="000000" w:themeColor="text1"/>
              </w:rPr>
            </w:pPr>
            <w:r>
              <w:rPr>
                <w:rFonts w:hint="eastAsia"/>
                <w:color w:val="000000" w:themeColor="text1"/>
              </w:rPr>
              <w:t>583</w:t>
            </w:r>
            <w:r>
              <w:rPr>
                <w:rFonts w:hint="eastAsia"/>
                <w:color w:val="000000" w:themeColor="text1"/>
              </w:rPr>
              <w:t>人</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2025</w:t>
            </w:r>
            <w:r>
              <w:rPr>
                <w:rFonts w:hint="eastAsia"/>
                <w:color w:val="000000" w:themeColor="text1"/>
              </w:rPr>
              <w:t>年）</w:t>
            </w:r>
          </w:p>
          <w:p>
            <w:pPr>
              <w:pStyle w:val="0"/>
              <w:spacing w:line="360" w:lineRule="exact"/>
              <w:jc w:val="center"/>
              <w:rPr>
                <w:rFonts w:hint="default"/>
                <w:color w:val="000000" w:themeColor="text1"/>
              </w:rPr>
            </w:pPr>
            <w:r>
              <w:rPr>
                <w:rFonts w:hint="eastAsia"/>
                <w:color w:val="000000" w:themeColor="text1"/>
              </w:rPr>
              <w:t>500</w:t>
            </w:r>
            <w:r>
              <w:rPr>
                <w:rFonts w:hint="eastAsia"/>
                <w:color w:val="000000" w:themeColor="text1"/>
              </w:rPr>
              <w:t>人未満</w:t>
            </w:r>
          </w:p>
        </w:tc>
      </w:tr>
      <w:tr>
        <w:trPr>
          <w:trHeight w:val="260" w:hRule="atLeast"/>
        </w:trPr>
        <w:tc>
          <w:tcPr>
            <w:tcW w:w="43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color w:val="000000" w:themeColor="text1"/>
                <w:spacing w:val="-4"/>
              </w:rPr>
            </w:pPr>
            <w:r>
              <w:rPr>
                <w:rFonts w:hint="eastAsia"/>
                <w:color w:val="000000" w:themeColor="text1"/>
                <w:spacing w:val="-4"/>
              </w:rPr>
              <w:t>３</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spacing w:val="-4"/>
              </w:rPr>
            </w:pPr>
            <w:r>
              <w:rPr>
                <w:rFonts w:hint="eastAsia"/>
                <w:color w:val="000000" w:themeColor="text1"/>
                <w:spacing w:val="-4"/>
              </w:rPr>
              <w:t>ゲートキーパー養成数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w:t>
            </w: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56,319</w:t>
            </w:r>
            <w:r>
              <w:rPr>
                <w:rFonts w:hint="eastAsia"/>
                <w:color w:val="000000" w:themeColor="text1"/>
              </w:rPr>
              <w:t>人</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w:t>
            </w:r>
            <w:r>
              <w:rPr>
                <w:rFonts w:hint="eastAsia"/>
                <w:color w:val="000000" w:themeColor="text1"/>
              </w:rPr>
              <w:t>2025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75,000</w:t>
            </w:r>
            <w:r>
              <w:rPr>
                <w:rFonts w:hint="eastAsia"/>
                <w:color w:val="000000" w:themeColor="text1"/>
              </w:rPr>
              <w:t>人</w:t>
            </w:r>
          </w:p>
        </w:tc>
      </w:tr>
      <w:tr>
        <w:trPr>
          <w:trHeight w:val="260" w:hRule="atLeast"/>
        </w:trPr>
        <w:tc>
          <w:tcPr>
            <w:tcW w:w="43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spacing w:val="-4"/>
              </w:rPr>
            </w:pPr>
            <w:r>
              <w:rPr>
                <w:rFonts w:hint="eastAsia"/>
                <w:spacing w:val="-4"/>
              </w:rPr>
              <w:t>４</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spacing w:val="-4"/>
              </w:rPr>
            </w:pPr>
            <w:r>
              <w:rPr>
                <w:rFonts w:hint="eastAsia"/>
                <w:spacing w:val="-4"/>
              </w:rPr>
              <w:t>こころのセルフケア講座受講者数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45</w:t>
            </w:r>
            <w:r>
              <w:rPr>
                <w:rFonts w:hint="eastAsia"/>
                <w:color w:val="000000" w:themeColor="text1"/>
              </w:rPr>
              <w:t>人</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(2022</w:t>
            </w:r>
            <w:r>
              <w:rPr>
                <w:rFonts w:hint="eastAsia"/>
                <w:color w:val="000000" w:themeColor="text1"/>
              </w:rPr>
              <w:t>～</w:t>
            </w:r>
            <w:r>
              <w:rPr>
                <w:rFonts w:hint="eastAsia"/>
                <w:color w:val="000000" w:themeColor="text1"/>
              </w:rPr>
              <w:t>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800</w:t>
            </w:r>
            <w:r>
              <w:rPr>
                <w:rFonts w:hint="eastAsia"/>
                <w:color w:val="000000" w:themeColor="text1"/>
              </w:rPr>
              <w:t>人</w:t>
            </w:r>
          </w:p>
        </w:tc>
      </w:tr>
    </w:tbl>
    <w:p>
      <w:pPr>
        <w:pStyle w:val="0"/>
        <w:outlineLvl w:val="2"/>
        <w:rPr>
          <w:rFonts w:hint="default" w:ascii="ＭＳ ゴシック" w:hAnsi="ＭＳ ゴシック" w:eastAsia="ＭＳ ゴシック"/>
        </w:rPr>
      </w:pPr>
    </w:p>
    <w:p>
      <w:pPr>
        <w:pStyle w:val="0"/>
        <w:outlineLvl w:val="2"/>
        <w:rPr>
          <w:rFonts w:hint="default" w:ascii="ＭＳ ゴシック" w:hAnsi="ＭＳ ゴシック" w:eastAsia="ＭＳ ゴシック"/>
        </w:rPr>
      </w:pPr>
      <w:bookmarkStart w:id="118" w:name="_Toc503474077"/>
      <w:r>
        <w:rPr>
          <w:rFonts w:hint="eastAsia" w:ascii="ＭＳ ゴシック" w:hAnsi="ＭＳ ゴシック" w:eastAsia="ＭＳ ゴシック"/>
        </w:rPr>
        <w:t>（３）ひきこもり</w:t>
      </w:r>
      <w:r>
        <w:rPr>
          <w:rFonts w:hint="eastAsia"/>
          <w:spacing w:val="-4"/>
          <w:kern w:val="0"/>
          <w:vertAlign w:val="superscript"/>
        </w:rPr>
        <w:t>＊</w:t>
      </w:r>
      <w:r>
        <w:rPr>
          <w:rFonts w:hint="eastAsia" w:ascii="ＭＳ ゴシック" w:hAnsi="ＭＳ ゴシック" w:eastAsia="ＭＳ ゴシック"/>
        </w:rPr>
        <w:t>の状態にある人に対する支援の充実</w:t>
      </w:r>
      <w:bookmarkEnd w:id="118"/>
    </w:p>
    <w:p>
      <w:pPr>
        <w:pStyle w:val="0"/>
        <w:rPr>
          <w:rFonts w:hint="default"/>
        </w:rPr>
      </w:pPr>
      <w:r>
        <w:rPr>
          <w:rFonts w:hint="eastAsia" w:ascii="ＭＳ ゴシック" w:hAnsi="ＭＳ ゴシック" w:eastAsia="ＭＳ ゴシック"/>
        </w:rPr>
        <w:t>【現状と課題】</w:t>
      </w:r>
    </w:p>
    <w:p>
      <w:pPr>
        <w:pStyle w:val="0"/>
        <w:numPr>
          <w:ilvl w:val="0"/>
          <w:numId w:val="79"/>
        </w:numPr>
        <w:autoSpaceDE w:val="0"/>
        <w:autoSpaceDN w:val="0"/>
        <w:adjustRightInd w:val="0"/>
        <w:spacing w:line="360" w:lineRule="exact"/>
        <w:jc w:val="left"/>
        <w:rPr>
          <w:rFonts w:hint="default"/>
          <w:color w:val="000000" w:themeColor="text1"/>
          <w:spacing w:val="-4"/>
        </w:rPr>
      </w:pPr>
      <w:r>
        <w:rPr>
          <w:rFonts w:hint="eastAsia"/>
          <w:kern w:val="0"/>
        </w:rPr>
        <w:t>「ひきこもり」とは、様々な要因の結果として、就学・就労・家庭外での交遊等の社会的参加を回避し、原則６か月以上にわたって</w:t>
      </w:r>
      <w:r>
        <w:rPr>
          <w:rFonts w:hint="eastAsia"/>
          <w:color w:val="000000" w:themeColor="text1"/>
          <w:kern w:val="0"/>
        </w:rPr>
        <w:t>おおむね家庭内にとどまり続けている状態を指します。県及び市町の調査（</w:t>
      </w:r>
      <w:r>
        <w:rPr>
          <w:rFonts w:hint="eastAsia"/>
          <w:color w:val="000000" w:themeColor="text1"/>
          <w:kern w:val="0"/>
        </w:rPr>
        <w:t>2019</w:t>
      </w:r>
      <w:r>
        <w:rPr>
          <w:rFonts w:hint="eastAsia"/>
          <w:color w:val="000000" w:themeColor="text1"/>
          <w:kern w:val="0"/>
        </w:rPr>
        <w:t>年）によると、県内の民生委員・児童委員</w:t>
      </w:r>
      <w:r>
        <w:rPr>
          <w:rFonts w:hint="eastAsia"/>
          <w:spacing w:val="-4"/>
          <w:kern w:val="0"/>
          <w:vertAlign w:val="superscript"/>
        </w:rPr>
        <w:t>＊</w:t>
      </w:r>
      <w:r>
        <w:rPr>
          <w:rFonts w:hint="eastAsia"/>
          <w:color w:val="000000" w:themeColor="text1"/>
          <w:kern w:val="0"/>
        </w:rPr>
        <w:t>が把握しているひきこもり状態にある人はおよそ</w:t>
      </w:r>
      <w:r>
        <w:rPr>
          <w:rFonts w:hint="eastAsia"/>
          <w:color w:val="000000" w:themeColor="text1"/>
          <w:kern w:val="0"/>
        </w:rPr>
        <w:t>2,100</w:t>
      </w:r>
      <w:r>
        <w:rPr>
          <w:rFonts w:hint="eastAsia"/>
          <w:color w:val="000000" w:themeColor="text1"/>
          <w:kern w:val="0"/>
        </w:rPr>
        <w:t>人であり、ひきこもりの長期化や当事者とその家族等の高年齢化が進む「</w:t>
      </w:r>
      <w:r>
        <w:rPr>
          <w:rFonts w:hint="eastAsia"/>
          <w:color w:val="000000" w:themeColor="text1"/>
          <w:kern w:val="0"/>
        </w:rPr>
        <w:fldChar w:fldCharType="begin"/>
      </w:r>
      <w:r>
        <w:rPr>
          <w:rFonts w:hint="eastAsia"/>
          <w:color w:val="000000" w:themeColor="text1"/>
          <w:kern w:val="0"/>
        </w:rPr>
        <w:instrText>EQ \* jc2 \* hps12 \o\ad(\s\up 11(</w:instrText>
      </w:r>
      <w:r>
        <w:rPr>
          <w:rFonts w:hint="eastAsia"/>
          <w:color w:val="000000" w:themeColor="text1"/>
          <w:sz w:val="12"/>
        </w:rPr>
        <w:instrText>は</w:instrText>
      </w:r>
      <w:r>
        <w:rPr>
          <w:rFonts w:hint="eastAsia"/>
          <w:color w:val="000000" w:themeColor="text1"/>
          <w:sz w:val="12"/>
        </w:rPr>
        <w:instrText>ち</w:instrText>
      </w:r>
      <w:r>
        <w:rPr>
          <w:rFonts w:hint="eastAsia"/>
          <w:color w:val="000000" w:themeColor="text1"/>
          <w:sz w:val="12"/>
        </w:rPr>
        <w:instrText>ま</w:instrText>
      </w:r>
      <w:r>
        <w:rPr>
          <w:rFonts w:hint="eastAsia"/>
          <w:color w:val="000000" w:themeColor="text1"/>
          <w:sz w:val="12"/>
        </w:rPr>
        <w:instrText>る</w:instrText>
      </w:r>
      <w:r>
        <w:rPr>
          <w:rFonts w:hint="eastAsia"/>
          <w:color w:val="000000" w:themeColor="text1"/>
          <w:sz w:val="12"/>
        </w:rPr>
        <w:instrText>ご</w:instrText>
      </w:r>
      <w:r>
        <w:rPr>
          <w:rFonts w:hint="eastAsia"/>
          <w:color w:val="000000" w:themeColor="text1"/>
          <w:sz w:val="12"/>
        </w:rPr>
        <w:instrText>ー</w:instrText>
      </w:r>
      <w:r>
        <w:rPr>
          <w:rFonts w:hint="eastAsia"/>
          <w:color w:val="000000" w:themeColor="text1"/>
          <w:sz w:val="12"/>
        </w:rPr>
        <w:instrText>ま</w:instrText>
      </w:r>
      <w:r>
        <w:rPr>
          <w:rFonts w:hint="eastAsia"/>
          <w:color w:val="000000" w:themeColor="text1"/>
          <w:sz w:val="12"/>
        </w:rPr>
        <w:instrText>る</w:instrText>
      </w:r>
      <w:r>
        <w:rPr>
          <w:rFonts w:hint="eastAsia"/>
          <w:color w:val="000000" w:themeColor="text1"/>
          <w:kern w:val="0"/>
        </w:rPr>
        <w:instrText>),</w:instrText>
      </w:r>
      <w:r>
        <w:rPr>
          <w:rFonts w:hint="eastAsia"/>
          <w:color w:val="000000" w:themeColor="text1"/>
          <w:kern w:val="0"/>
        </w:rPr>
        <w:instrText>8050</w:instrText>
      </w:r>
      <w:r>
        <w:rPr>
          <w:rFonts w:hint="eastAsia"/>
          <w:color w:val="000000" w:themeColor="text1"/>
          <w:kern w:val="0"/>
        </w:rPr>
        <w:instrText>)</w:instrText>
      </w:r>
      <w:r>
        <w:rPr>
          <w:rFonts w:hint="eastAsia"/>
          <w:color w:val="000000" w:themeColor="text1"/>
          <w:kern w:val="0"/>
        </w:rPr>
        <w:fldChar w:fldCharType="end"/>
      </w:r>
      <w:r>
        <w:rPr>
          <w:rFonts w:hint="eastAsia"/>
          <w:color w:val="000000" w:themeColor="text1"/>
          <w:kern w:val="0"/>
        </w:rPr>
        <w:t>問題」</w:t>
      </w:r>
      <w:r>
        <w:rPr>
          <w:rFonts w:hint="eastAsia"/>
          <w:spacing w:val="-4"/>
          <w:kern w:val="0"/>
          <w:vertAlign w:val="superscript"/>
        </w:rPr>
        <w:t>＊</w:t>
      </w:r>
      <w:r>
        <w:rPr>
          <w:rFonts w:hint="eastAsia"/>
          <w:color w:val="000000" w:themeColor="text1"/>
          <w:kern w:val="0"/>
        </w:rPr>
        <w:t>が深刻な社会問題となっています。</w:t>
      </w:r>
    </w:p>
    <w:p>
      <w:pPr>
        <w:pStyle w:val="0"/>
        <w:autoSpaceDE w:val="0"/>
        <w:autoSpaceDN w:val="0"/>
        <w:adjustRightInd w:val="0"/>
        <w:spacing w:line="360" w:lineRule="exact"/>
        <w:ind w:left="576"/>
        <w:jc w:val="left"/>
        <w:rPr>
          <w:rFonts w:hint="default"/>
          <w:color w:val="000000" w:themeColor="text1"/>
          <w:spacing w:val="-4"/>
        </w:rPr>
      </w:pPr>
    </w:p>
    <w:p>
      <w:pPr>
        <w:pStyle w:val="0"/>
        <w:numPr>
          <w:ilvl w:val="0"/>
          <w:numId w:val="79"/>
        </w:numPr>
        <w:autoSpaceDE w:val="0"/>
        <w:autoSpaceDN w:val="0"/>
        <w:adjustRightInd w:val="0"/>
        <w:spacing w:line="360" w:lineRule="exact"/>
        <w:jc w:val="left"/>
        <w:rPr>
          <w:rFonts w:hint="default"/>
          <w:color w:val="000000" w:themeColor="text1"/>
          <w:spacing w:val="-4"/>
        </w:rPr>
      </w:pPr>
      <w:r>
        <w:rPr>
          <w:rFonts w:hint="eastAsia"/>
          <w:color w:val="000000" w:themeColor="text1"/>
          <w:spacing w:val="-4"/>
        </w:rPr>
        <w:t>ひきこもり</w:t>
      </w:r>
      <w:r>
        <w:rPr>
          <w:rFonts w:hint="eastAsia"/>
          <w:spacing w:val="-4"/>
          <w:kern w:val="0"/>
          <w:vertAlign w:val="superscript"/>
        </w:rPr>
        <w:t>＊</w:t>
      </w:r>
      <w:r>
        <w:rPr>
          <w:rFonts w:hint="eastAsia"/>
          <w:color w:val="000000" w:themeColor="text1"/>
          <w:spacing w:val="-4"/>
        </w:rPr>
        <w:t>は家庭内に潜在しており、外部からの支援が届きにくいため、相談窓口への誘導や自立に向けてのサポートが課題となっています。</w:t>
      </w:r>
    </w:p>
    <w:p>
      <w:pPr>
        <w:pStyle w:val="0"/>
        <w:autoSpaceDE w:val="0"/>
        <w:autoSpaceDN w:val="0"/>
        <w:adjustRightInd w:val="0"/>
        <w:spacing w:line="360" w:lineRule="exact"/>
        <w:ind w:left="576"/>
        <w:jc w:val="left"/>
        <w:rPr>
          <w:rFonts w:hint="default"/>
          <w:color w:val="000000" w:themeColor="text1"/>
          <w:spacing w:val="-4"/>
        </w:rPr>
      </w:pPr>
    </w:p>
    <w:p>
      <w:pPr>
        <w:pStyle w:val="0"/>
        <w:numPr>
          <w:ilvl w:val="0"/>
          <w:numId w:val="79"/>
        </w:numPr>
        <w:autoSpaceDE w:val="0"/>
        <w:autoSpaceDN w:val="0"/>
        <w:adjustRightInd w:val="0"/>
        <w:spacing w:line="360" w:lineRule="exact"/>
        <w:jc w:val="left"/>
        <w:rPr>
          <w:rFonts w:hint="default"/>
          <w:color w:val="000000" w:themeColor="text1"/>
          <w:spacing w:val="-4"/>
        </w:rPr>
      </w:pPr>
      <w:r>
        <w:rPr>
          <w:rFonts w:hint="eastAsia"/>
          <w:color w:val="000000" w:themeColor="text1"/>
          <w:spacing w:val="-4"/>
        </w:rPr>
        <w:t>ひきこもり</w:t>
      </w:r>
      <w:r>
        <w:rPr>
          <w:rFonts w:hint="eastAsia"/>
          <w:spacing w:val="-4"/>
          <w:kern w:val="0"/>
          <w:vertAlign w:val="superscript"/>
        </w:rPr>
        <w:t>＊</w:t>
      </w:r>
      <w:r>
        <w:rPr>
          <w:rFonts w:hint="eastAsia"/>
          <w:color w:val="000000" w:themeColor="text1"/>
          <w:spacing w:val="-4"/>
        </w:rPr>
        <w:t>状態が長期化すると、社会参加につなぐまでには長い期間を要します。早期に適切な支援機関につなげるためには、保健・医療・福祉・就労支援・教育等関係機関が連携する必要があります。</w:t>
      </w:r>
    </w:p>
    <w:p>
      <w:pPr>
        <w:pStyle w:val="0"/>
        <w:rPr>
          <w:rFonts w:hint="default"/>
          <w:color w:val="000000" w:themeColor="text1"/>
        </w:rPr>
      </w:pPr>
    </w:p>
    <w:p>
      <w:pPr>
        <w:pStyle w:val="0"/>
        <w:rPr>
          <w:rFonts w:hint="default"/>
          <w:color w:val="000000" w:themeColor="text1"/>
        </w:rPr>
      </w:pPr>
      <w:r>
        <w:rPr>
          <w:rFonts w:hint="eastAsia" w:ascii="ＭＳ ゴシック" w:hAnsi="ＭＳ ゴシック" w:eastAsia="ＭＳ ゴシック"/>
          <w:color w:val="000000" w:themeColor="text1"/>
        </w:rPr>
        <w:t>【県の取組】</w:t>
      </w:r>
    </w:p>
    <w:p>
      <w:pPr>
        <w:pStyle w:val="0"/>
        <w:numPr>
          <w:ilvl w:val="0"/>
          <w:numId w:val="80"/>
        </w:numPr>
        <w:autoSpaceDE w:val="0"/>
        <w:autoSpaceDN w:val="0"/>
        <w:adjustRightInd w:val="0"/>
        <w:spacing w:line="360" w:lineRule="exact"/>
        <w:jc w:val="left"/>
        <w:rPr>
          <w:rFonts w:hint="default"/>
          <w:color w:val="000000" w:themeColor="text1"/>
          <w:spacing w:val="-4"/>
          <w:kern w:val="0"/>
        </w:rPr>
      </w:pPr>
      <w:r>
        <w:rPr>
          <w:rFonts w:hint="eastAsia"/>
          <w:color w:val="000000" w:themeColor="text1"/>
          <w:kern w:val="0"/>
        </w:rPr>
        <w:t>ひきこもり</w:t>
      </w:r>
      <w:r>
        <w:rPr>
          <w:rFonts w:hint="eastAsia"/>
          <w:spacing w:val="-4"/>
          <w:kern w:val="0"/>
          <w:vertAlign w:val="superscript"/>
        </w:rPr>
        <w:t>＊</w:t>
      </w:r>
      <w:r>
        <w:rPr>
          <w:rFonts w:hint="eastAsia"/>
          <w:color w:val="000000" w:themeColor="text1"/>
          <w:kern w:val="0"/>
        </w:rPr>
        <w:t>状態にある人やその家族を早期に支援するため、静岡県ひきこもり支援センターにおいて電話・来所相談等の支援を行います。</w:t>
      </w:r>
      <w:r>
        <w:rPr>
          <w:rFonts w:hint="eastAsia"/>
          <w:color w:val="000000" w:themeColor="text1"/>
          <w:sz w:val="16"/>
        </w:rPr>
        <w:t>[</w:t>
      </w:r>
      <w:r>
        <w:rPr>
          <w:rFonts w:hint="eastAsia"/>
          <w:color w:val="000000" w:themeColor="text1"/>
          <w:spacing w:val="-4"/>
          <w:kern w:val="0"/>
          <w:sz w:val="16"/>
        </w:rPr>
        <w:t>健康福祉部障害者支援局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pacing w:val="-4"/>
          <w:kern w:val="0"/>
        </w:rPr>
      </w:pPr>
    </w:p>
    <w:p>
      <w:pPr>
        <w:pStyle w:val="0"/>
        <w:numPr>
          <w:ilvl w:val="0"/>
          <w:numId w:val="80"/>
        </w:numPr>
        <w:autoSpaceDE w:val="0"/>
        <w:autoSpaceDN w:val="0"/>
        <w:adjustRightInd w:val="0"/>
        <w:spacing w:line="360" w:lineRule="exact"/>
        <w:jc w:val="left"/>
        <w:rPr>
          <w:rFonts w:hint="default"/>
          <w:spacing w:val="-4"/>
          <w:kern w:val="0"/>
        </w:rPr>
      </w:pPr>
      <w:r>
        <w:rPr>
          <w:rFonts w:hint="eastAsia"/>
          <w:color w:val="000000" w:themeColor="text1"/>
          <w:spacing w:val="-4"/>
          <w:kern w:val="0"/>
        </w:rPr>
        <w:t>ひきこもり支援関係機関からなる連絡協議会や情報交換会の開催等により、保健・福祉・教育等</w:t>
      </w:r>
      <w:r>
        <w:rPr>
          <w:rFonts w:hint="eastAsia"/>
          <w:spacing w:val="-4"/>
          <w:kern w:val="0"/>
        </w:rPr>
        <w:t>関係機関との連携強化を図ります。</w:t>
      </w:r>
      <w:r>
        <w:rPr>
          <w:rFonts w:hint="eastAsia"/>
          <w:sz w:val="16"/>
        </w:rPr>
        <w:t>[</w:t>
      </w:r>
      <w:r>
        <w:rPr>
          <w:rFonts w:hint="eastAsia"/>
          <w:spacing w:val="-4"/>
          <w:kern w:val="0"/>
          <w:sz w:val="16"/>
        </w:rPr>
        <w:t>健康福祉部障害者支援局</w:t>
      </w:r>
      <w:r>
        <w:rPr>
          <w:rFonts w:hint="eastAsia"/>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80"/>
        </w:numPr>
        <w:autoSpaceDE w:val="0"/>
        <w:autoSpaceDN w:val="0"/>
        <w:adjustRightInd w:val="0"/>
        <w:spacing w:line="360" w:lineRule="exact"/>
        <w:jc w:val="left"/>
        <w:rPr>
          <w:rFonts w:hint="default"/>
          <w:spacing w:val="-4"/>
          <w:kern w:val="0"/>
        </w:rPr>
      </w:pPr>
      <w:r>
        <w:rPr>
          <w:rFonts w:hint="eastAsia"/>
          <w:spacing w:val="-4"/>
          <w:kern w:val="0"/>
        </w:rPr>
        <w:t>ひきこもり</w:t>
      </w:r>
      <w:r>
        <w:rPr>
          <w:rFonts w:hint="eastAsia"/>
          <w:spacing w:val="-4"/>
          <w:kern w:val="0"/>
          <w:vertAlign w:val="superscript"/>
        </w:rPr>
        <w:t>＊</w:t>
      </w:r>
      <w:r>
        <w:rPr>
          <w:rFonts w:hint="eastAsia"/>
          <w:spacing w:val="-4"/>
          <w:kern w:val="0"/>
        </w:rPr>
        <w:t>状態にある人が自宅以外で安心して過ごせる「居場所」を設置し、社会参加に向けた支援を行います。</w:t>
      </w:r>
      <w:r>
        <w:rPr>
          <w:rFonts w:hint="eastAsia"/>
          <w:sz w:val="16"/>
        </w:rPr>
        <w:t>[</w:t>
      </w:r>
      <w:r>
        <w:rPr>
          <w:rFonts w:hint="eastAsia"/>
          <w:spacing w:val="-4"/>
          <w:kern w:val="0"/>
          <w:sz w:val="16"/>
        </w:rPr>
        <w:t>健康福祉部障害者支援局</w:t>
      </w:r>
      <w:r>
        <w:rPr>
          <w:rFonts w:hint="eastAsia"/>
          <w:sz w:val="16"/>
        </w:rPr>
        <w:t>]</w:t>
      </w:r>
    </w:p>
    <w:p>
      <w:pPr>
        <w:pStyle w:val="0"/>
        <w:autoSpaceDE w:val="0"/>
        <w:autoSpaceDN w:val="0"/>
        <w:adjustRightInd w:val="0"/>
        <w:spacing w:line="360" w:lineRule="exact"/>
        <w:ind w:left="576"/>
        <w:jc w:val="left"/>
        <w:rPr>
          <w:rFonts w:hint="default"/>
          <w:spacing w:val="-4"/>
          <w:kern w:val="0"/>
        </w:rPr>
      </w:pPr>
    </w:p>
    <w:p>
      <w:pPr>
        <w:pStyle w:val="0"/>
        <w:autoSpaceDE w:val="0"/>
        <w:autoSpaceDN w:val="0"/>
        <w:adjustRightInd w:val="0"/>
        <w:spacing w:line="360" w:lineRule="exact"/>
        <w:ind w:left="576"/>
        <w:jc w:val="left"/>
        <w:rPr>
          <w:rFonts w:hint="default"/>
          <w:spacing w:val="-4"/>
          <w:kern w:val="0"/>
        </w:rPr>
      </w:pPr>
    </w:p>
    <w:p>
      <w:pPr>
        <w:pStyle w:val="0"/>
        <w:autoSpaceDE w:val="0"/>
        <w:autoSpaceDN w:val="0"/>
        <w:adjustRightInd w:val="0"/>
        <w:spacing w:line="360" w:lineRule="exact"/>
        <w:ind w:left="576"/>
        <w:jc w:val="left"/>
        <w:rPr>
          <w:rFonts w:hint="default"/>
          <w:spacing w:val="-4"/>
          <w:kern w:val="0"/>
        </w:rPr>
      </w:pPr>
    </w:p>
    <w:p>
      <w:pPr>
        <w:pStyle w:val="0"/>
        <w:rPr>
          <w:rFonts w:hint="default"/>
        </w:rPr>
      </w:pPr>
      <w:r>
        <w:rPr>
          <w:rFonts w:hint="eastAsia" w:ascii="ＭＳ ゴシック" w:hAnsi="ＭＳ ゴシック" w:eastAsia="ＭＳ ゴシック"/>
        </w:rPr>
        <w:t>【数値目標】</w:t>
      </w:r>
    </w:p>
    <w:tbl>
      <w:tblPr>
        <w:tblStyle w:val="11"/>
        <w:tblW w:w="9680"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4"/>
        <w:gridCol w:w="4880"/>
        <w:gridCol w:w="2193"/>
        <w:gridCol w:w="2193"/>
      </w:tblGrid>
      <w:tr>
        <w:trPr>
          <w:trHeight w:val="278"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260"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spacing w:val="-4"/>
              </w:rPr>
            </w:pPr>
            <w:r>
              <w:rPr>
                <w:rFonts w:hint="eastAsia"/>
                <w:spacing w:val="-4"/>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spacing w:val="-4"/>
              </w:rPr>
            </w:pPr>
            <w:r>
              <w:rPr>
                <w:rFonts w:hint="eastAsia"/>
                <w:spacing w:val="-4"/>
              </w:rPr>
              <w:t>ひきこもり</w:t>
            </w:r>
            <w:r>
              <w:rPr>
                <w:rFonts w:hint="eastAsia"/>
                <w:spacing w:val="-4"/>
                <w:kern w:val="0"/>
                <w:vertAlign w:val="superscript"/>
              </w:rPr>
              <w:t>＊</w:t>
            </w:r>
            <w:r>
              <w:rPr>
                <w:rFonts w:hint="eastAsia"/>
                <w:spacing w:val="-4"/>
              </w:rPr>
              <w:t>状態にある人の「居場所」利用者数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448</w:t>
            </w:r>
            <w:r>
              <w:rPr>
                <w:rFonts w:hint="eastAsia"/>
                <w:color w:val="000000" w:themeColor="text1"/>
              </w:rPr>
              <w:t>人</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(2025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880</w:t>
            </w:r>
            <w:r>
              <w:rPr>
                <w:rFonts w:hint="eastAsia"/>
                <w:color w:val="000000" w:themeColor="text1"/>
              </w:rPr>
              <w:t>人</w:t>
            </w:r>
          </w:p>
        </w:tc>
      </w:tr>
    </w:tbl>
    <w:p>
      <w:pPr>
        <w:pStyle w:val="0"/>
        <w:rPr>
          <w:rFonts w:hint="default" w:ascii="ＭＳ ゴシック" w:hAnsi="ＭＳ ゴシック" w:eastAsia="ＭＳ ゴシック"/>
          <w:b w:val="1"/>
        </w:rPr>
      </w:pPr>
    </w:p>
    <w:p>
      <w:pPr>
        <w:pStyle w:val="0"/>
        <w:outlineLvl w:val="2"/>
        <w:rPr>
          <w:rFonts w:hint="default" w:ascii="ＭＳ ゴシック" w:hAnsi="ＭＳ ゴシック" w:eastAsia="ＭＳ ゴシック"/>
        </w:rPr>
      </w:pPr>
      <w:bookmarkStart w:id="119" w:name="_Toc503474078"/>
      <w:r>
        <w:rPr>
          <w:rFonts w:hint="eastAsia" w:ascii="ＭＳ ゴシック" w:hAnsi="ＭＳ ゴシック" w:eastAsia="ＭＳ ゴシック"/>
        </w:rPr>
        <w:t>（４）地域リハビリテーション</w:t>
      </w:r>
      <w:r>
        <w:rPr>
          <w:rFonts w:hint="eastAsia"/>
          <w:spacing w:val="-4"/>
          <w:kern w:val="0"/>
          <w:vertAlign w:val="superscript"/>
        </w:rPr>
        <w:t>＊</w:t>
      </w:r>
      <w:r>
        <w:rPr>
          <w:rFonts w:hint="eastAsia" w:ascii="ＭＳ ゴシック" w:hAnsi="ＭＳ ゴシック" w:eastAsia="ＭＳ ゴシック"/>
        </w:rPr>
        <w:t>体制の充実</w:t>
      </w:r>
      <w:bookmarkEnd w:id="119"/>
    </w:p>
    <w:p>
      <w:pPr>
        <w:pStyle w:val="0"/>
        <w:rPr>
          <w:rFonts w:hint="default"/>
        </w:rPr>
      </w:pPr>
      <w:r>
        <w:rPr>
          <w:rFonts w:hint="eastAsia" w:ascii="ＭＳ ゴシック" w:hAnsi="ＭＳ ゴシック" w:eastAsia="ＭＳ ゴシック"/>
        </w:rPr>
        <w:t>【現状と課題】</w:t>
      </w:r>
    </w:p>
    <w:p>
      <w:pPr>
        <w:pStyle w:val="0"/>
        <w:numPr>
          <w:ilvl w:val="0"/>
          <w:numId w:val="81"/>
        </w:numPr>
        <w:autoSpaceDE w:val="0"/>
        <w:autoSpaceDN w:val="0"/>
        <w:adjustRightInd w:val="0"/>
        <w:spacing w:line="360" w:lineRule="exact"/>
        <w:jc w:val="left"/>
        <w:rPr>
          <w:rFonts w:hint="default"/>
        </w:rPr>
      </w:pPr>
      <w:r>
        <w:rPr>
          <w:rFonts w:hint="eastAsia"/>
          <w:kern w:val="0"/>
        </w:rPr>
        <w:t>障害のある人、高齢者、その家族等が住み慣れた場所で、そこに住む人々とともに、安全に生き生きとした生活が送ることができるよう、医療や保健、福祉及び生活に関わるあらゆる人々や機関・組織が協力し合って活動する地域リハビリテーション</w:t>
      </w:r>
      <w:r>
        <w:rPr>
          <w:rFonts w:hint="eastAsia"/>
          <w:spacing w:val="-4"/>
          <w:kern w:val="0"/>
          <w:vertAlign w:val="superscript"/>
        </w:rPr>
        <w:t>＊</w:t>
      </w:r>
      <w:r>
        <w:rPr>
          <w:rFonts w:hint="eastAsia"/>
          <w:kern w:val="0"/>
        </w:rPr>
        <w:t>を推進していく必要があります。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rPr>
      </w:pPr>
      <w:r>
        <w:rPr>
          <w:rFonts w:hint="eastAsia"/>
          <w:kern w:val="0"/>
        </w:rPr>
        <w:t>障害のある人の地域での安心した生活を支えていくために、地域の保健・医療・教育・福祉及び生活に関わるあらゆる人々や関係機関の連携による包括的な支援体制の整備を進める必要があります。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spacing w:val="-4"/>
        </w:rPr>
      </w:pPr>
      <w:r>
        <w:rPr>
          <w:rFonts w:hint="eastAsia"/>
          <w:kern w:val="0"/>
        </w:rPr>
        <w:t>様々な障害特性に応じた適切なリハビリテーションを地域で継続して提供するため、社会福祉施設と関係行政機関、医療機関、相談機関等との連携体制が求められています。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numPr>
          <w:ilvl w:val="0"/>
          <w:numId w:val="82"/>
        </w:numPr>
        <w:autoSpaceDE w:val="0"/>
        <w:autoSpaceDN w:val="0"/>
        <w:adjustRightInd w:val="0"/>
        <w:spacing w:line="360" w:lineRule="exact"/>
        <w:jc w:val="left"/>
        <w:rPr>
          <w:rFonts w:hint="default"/>
          <w:color w:val="000000" w:themeColor="text1"/>
        </w:rPr>
      </w:pPr>
      <w:r>
        <w:rPr>
          <w:rFonts w:hint="eastAsia"/>
          <w:color w:val="000000" w:themeColor="text1"/>
          <w:kern w:val="0"/>
        </w:rPr>
        <w:t>地域リハビリテーションサポート医</w:t>
      </w:r>
      <w:r>
        <w:rPr>
          <w:rFonts w:hint="eastAsia"/>
          <w:spacing w:val="-4"/>
          <w:kern w:val="0"/>
          <w:vertAlign w:val="superscript"/>
        </w:rPr>
        <w:t>＊</w:t>
      </w:r>
      <w:r>
        <w:rPr>
          <w:rFonts w:hint="eastAsia"/>
          <w:color w:val="000000" w:themeColor="text1"/>
          <w:kern w:val="0"/>
        </w:rPr>
        <w:t>・推進員</w:t>
      </w:r>
      <w:r>
        <w:rPr>
          <w:rFonts w:hint="eastAsia"/>
          <w:spacing w:val="-4"/>
          <w:kern w:val="0"/>
          <w:vertAlign w:val="superscript"/>
        </w:rPr>
        <w:t>＊</w:t>
      </w:r>
      <w:r>
        <w:rPr>
          <w:rFonts w:hint="eastAsia"/>
          <w:color w:val="000000" w:themeColor="text1"/>
          <w:kern w:val="0"/>
        </w:rPr>
        <w:t>の養成などに取り組み、予防期、急性期、回復期、生活期の各段階を通じて、多機関・多職種が連携した切れ目のない地域リハビリハビリテーション体制を構築します。</w:t>
      </w:r>
      <w:r>
        <w:rPr>
          <w:rFonts w:hint="eastAsia"/>
          <w:color w:val="000000" w:themeColor="text1"/>
          <w:kern w:val="0"/>
          <w:sz w:val="16"/>
        </w:rPr>
        <w:t>[</w:t>
      </w:r>
      <w:r>
        <w:rPr>
          <w:rFonts w:hint="eastAsia"/>
          <w:color w:val="000000" w:themeColor="text1"/>
          <w:kern w:val="0"/>
          <w:sz w:val="16"/>
        </w:rPr>
        <w:t>健康福祉部健康局</w:t>
      </w:r>
      <w:r>
        <w:rPr>
          <w:rFonts w:hint="eastAsia"/>
          <w:color w:val="000000" w:themeColor="text1"/>
          <w:kern w:val="0"/>
          <w:sz w:val="16"/>
        </w:rPr>
        <w:t>]</w:t>
      </w:r>
    </w:p>
    <w:p>
      <w:pPr>
        <w:pStyle w:val="0"/>
        <w:outlineLvl w:val="2"/>
        <w:rPr>
          <w:rFonts w:hint="default" w:ascii="ＭＳ ゴシック" w:hAnsi="ＭＳ ゴシック" w:eastAsia="ＭＳ ゴシック"/>
        </w:rPr>
      </w:pPr>
      <w:bookmarkStart w:id="120" w:name="_Toc503474079"/>
    </w:p>
    <w:p>
      <w:pPr>
        <w:pStyle w:val="0"/>
        <w:outlineLvl w:val="2"/>
        <w:rPr>
          <w:rFonts w:hint="default" w:ascii="ＭＳ ゴシック" w:hAnsi="ＭＳ ゴシック" w:eastAsia="ＭＳ ゴシック"/>
        </w:rPr>
      </w:pPr>
      <w:r>
        <w:rPr>
          <w:rFonts w:hint="eastAsia" w:ascii="ＭＳ ゴシック" w:hAnsi="ＭＳ ゴシック" w:eastAsia="ＭＳ ゴシック"/>
        </w:rPr>
        <w:t>（５）質の高い医療及び歯科医療の提供</w:t>
      </w:r>
      <w:bookmarkEnd w:id="120"/>
    </w:p>
    <w:p>
      <w:pPr>
        <w:pStyle w:val="0"/>
        <w:rPr>
          <w:rFonts w:hint="default"/>
        </w:rPr>
      </w:pPr>
      <w:r>
        <w:rPr>
          <w:rFonts w:hint="eastAsia" w:ascii="ＭＳ ゴシック" w:hAnsi="ＭＳ ゴシック" w:eastAsia="ＭＳ ゴシック"/>
        </w:rPr>
        <w:t>【現状と課題】</w:t>
      </w:r>
    </w:p>
    <w:p>
      <w:pPr>
        <w:pStyle w:val="0"/>
        <w:numPr>
          <w:ilvl w:val="0"/>
          <w:numId w:val="83"/>
        </w:numPr>
        <w:autoSpaceDE w:val="0"/>
        <w:autoSpaceDN w:val="0"/>
        <w:adjustRightInd w:val="0"/>
        <w:spacing w:line="360" w:lineRule="exact"/>
        <w:jc w:val="left"/>
        <w:rPr>
          <w:rFonts w:hint="default"/>
        </w:rPr>
      </w:pPr>
      <w:r>
        <w:rPr>
          <w:rFonts w:hint="eastAsia"/>
          <w:kern w:val="0"/>
        </w:rPr>
        <w:t>障害のある人をはじめ県民が、安心して必要な医療サービスが受けられるよう、医療の確保・充実や提供体制の整備が重要です。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rPr>
      </w:pPr>
      <w:r>
        <w:rPr>
          <w:rFonts w:hint="eastAsia"/>
          <w:kern w:val="0"/>
        </w:rPr>
        <w:t>精神疾患については、うつ病・躁うつ病（双極性感情障害）の増加など、県民に広く関わる疾患となっており、予防、急性期から回復期、在宅療養に至るまで、地域全体で切れ目なく必要な医療が提供される保健医療連携体制の整備が必要になっています。</w:t>
      </w:r>
    </w:p>
    <w:p>
      <w:pPr>
        <w:pStyle w:val="0"/>
        <w:rPr>
          <w:rFonts w:hint="default"/>
        </w:rPr>
      </w:pPr>
    </w:p>
    <w:p>
      <w:pPr>
        <w:pStyle w:val="0"/>
        <w:spacing w:line="300" w:lineRule="exact"/>
        <w:rPr>
          <w:rFonts w:hint="default"/>
        </w:rPr>
      </w:pPr>
      <w:r>
        <w:rPr>
          <w:rFonts w:hint="eastAsia" w:ascii="ＭＳ ゴシック" w:hAnsi="ＭＳ ゴシック" w:eastAsia="ＭＳ ゴシック"/>
        </w:rPr>
        <w:t>【県の取組】</w:t>
      </w:r>
    </w:p>
    <w:p>
      <w:pPr>
        <w:pStyle w:val="0"/>
        <w:numPr>
          <w:ilvl w:val="0"/>
          <w:numId w:val="84"/>
        </w:numPr>
        <w:autoSpaceDE w:val="0"/>
        <w:autoSpaceDN w:val="0"/>
        <w:adjustRightInd w:val="0"/>
        <w:spacing w:line="300" w:lineRule="exact"/>
        <w:jc w:val="left"/>
        <w:rPr>
          <w:rFonts w:hint="default"/>
          <w:color w:val="000000" w:themeColor="text1"/>
          <w:sz w:val="16"/>
        </w:rPr>
      </w:pPr>
      <w:r>
        <w:rPr>
          <w:rFonts w:hint="eastAsia"/>
          <w:kern w:val="0"/>
        </w:rPr>
        <w:t>障害のある人をはじめ県民が、急性期から回復期、在宅医療に至るまで、適切な医療サービスを切れ目なく受けられるように保健医療圏ごとの体制の整備を進めます。</w:t>
      </w:r>
      <w:r>
        <w:rPr>
          <w:rFonts w:hint="eastAsia"/>
          <w:sz w:val="16"/>
        </w:rPr>
        <w:t>[</w:t>
      </w:r>
      <w:r>
        <w:rPr>
          <w:rFonts w:hint="eastAsia"/>
          <w:spacing w:val="-4"/>
          <w:kern w:val="0"/>
          <w:sz w:val="16"/>
        </w:rPr>
        <w:t>健康福祉部</w:t>
      </w:r>
      <w:r>
        <w:rPr>
          <w:rFonts w:hint="eastAsia"/>
          <w:color w:val="000000" w:themeColor="text1"/>
          <w:sz w:val="16"/>
        </w:rPr>
        <w:t>健康局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z w:val="16"/>
        </w:rPr>
      </w:pPr>
    </w:p>
    <w:p>
      <w:pPr>
        <w:pStyle w:val="0"/>
        <w:numPr>
          <w:ilvl w:val="0"/>
          <w:numId w:val="84"/>
        </w:numPr>
        <w:autoSpaceDE w:val="0"/>
        <w:autoSpaceDN w:val="0"/>
        <w:adjustRightInd w:val="0"/>
        <w:spacing w:line="360" w:lineRule="exact"/>
        <w:jc w:val="left"/>
        <w:rPr>
          <w:rFonts w:hint="default"/>
          <w:color w:val="000000" w:themeColor="text1"/>
        </w:rPr>
      </w:pPr>
      <w:r>
        <w:rPr>
          <w:rFonts w:hint="eastAsia"/>
          <w:color w:val="000000" w:themeColor="text1"/>
          <w:kern w:val="0"/>
        </w:rPr>
        <w:t>障害のある人が在宅で療養できるよう、「かかりつけ医」「かかりつけ歯科医」「かかりつけ薬剤師・薬局」の普及の促進、在宅医療の中心的な役割を担う訪問診療を提供する診療所や訪問看護ステーションの充実を図り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健康局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rPr>
      </w:pPr>
    </w:p>
    <w:p>
      <w:pPr>
        <w:pStyle w:val="0"/>
        <w:numPr>
          <w:ilvl w:val="0"/>
          <w:numId w:val="84"/>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kern w:val="0"/>
        </w:rPr>
        <w:t>すべての日常生活圏において、必要な救急医療が受けられるように、体系的な救急医療体制を整備します。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医療局</w:t>
      </w:r>
      <w:r>
        <w:rPr>
          <w:rFonts w:hint="eastAsia"/>
          <w:color w:val="000000" w:themeColor="text1"/>
          <w:sz w:val="16"/>
        </w:rPr>
        <w:t>]</w:t>
      </w:r>
    </w:p>
    <w:p>
      <w:pPr>
        <w:pStyle w:val="0"/>
        <w:autoSpaceDE w:val="0"/>
        <w:autoSpaceDN w:val="0"/>
        <w:adjustRightInd w:val="0"/>
        <w:spacing w:line="360" w:lineRule="exact"/>
        <w:ind w:left="576"/>
        <w:jc w:val="left"/>
        <w:rPr>
          <w:rFonts w:hint="default"/>
          <w:color w:val="000000" w:themeColor="text1"/>
          <w:spacing w:val="-4"/>
          <w:kern w:val="0"/>
          <w:sz w:val="16"/>
        </w:rPr>
      </w:pPr>
    </w:p>
    <w:p>
      <w:pPr>
        <w:pStyle w:val="0"/>
        <w:numPr>
          <w:ilvl w:val="0"/>
          <w:numId w:val="84"/>
        </w:numPr>
        <w:autoSpaceDE w:val="0"/>
        <w:autoSpaceDN w:val="0"/>
        <w:adjustRightInd w:val="0"/>
        <w:spacing w:line="360" w:lineRule="exact"/>
        <w:jc w:val="left"/>
        <w:rPr>
          <w:rFonts w:hint="default"/>
          <w:spacing w:val="-4"/>
          <w:kern w:val="0"/>
        </w:rPr>
      </w:pPr>
      <w:r>
        <w:rPr>
          <w:rFonts w:hint="eastAsia"/>
          <w:kern w:val="0"/>
        </w:rPr>
        <w:t>障害を解消・軽減するために必要な自立支援医療</w:t>
      </w:r>
      <w:r>
        <w:rPr>
          <w:rFonts w:hint="eastAsia"/>
          <w:spacing w:val="-4"/>
          <w:kern w:val="0"/>
          <w:vertAlign w:val="superscript"/>
        </w:rPr>
        <w:t>＊</w:t>
      </w:r>
      <w:r>
        <w:rPr>
          <w:rFonts w:hint="eastAsia"/>
          <w:kern w:val="0"/>
        </w:rPr>
        <w:t>を給付します。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84"/>
        </w:numPr>
        <w:autoSpaceDE w:val="0"/>
        <w:autoSpaceDN w:val="0"/>
        <w:adjustRightInd w:val="0"/>
        <w:spacing w:line="360" w:lineRule="exact"/>
        <w:jc w:val="left"/>
        <w:rPr>
          <w:rFonts w:hint="default"/>
          <w:spacing w:val="-4"/>
          <w:kern w:val="0"/>
        </w:rPr>
      </w:pPr>
      <w:r>
        <w:rPr>
          <w:rFonts w:hint="eastAsia"/>
          <w:kern w:val="0"/>
        </w:rPr>
        <w:t>重度の障害のある人の経済的負担を軽減し、療養を推進するため、医療費の自己負担分を助成する重度障害者（児）医療費助成を実施します。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84"/>
        </w:numPr>
        <w:autoSpaceDE w:val="0"/>
        <w:autoSpaceDN w:val="0"/>
        <w:adjustRightInd w:val="0"/>
        <w:spacing w:line="360" w:lineRule="exact"/>
        <w:jc w:val="left"/>
        <w:rPr>
          <w:rFonts w:hint="default"/>
          <w:spacing w:val="-4"/>
          <w:kern w:val="0"/>
        </w:rPr>
      </w:pPr>
      <w:r>
        <w:rPr>
          <w:rFonts w:hint="eastAsia"/>
          <w:kern w:val="0"/>
        </w:rPr>
        <w:t>適正な精神医療を確保・普及するとともに、継続治療のための通院医療や急性期治療の確保と保護のための措置入院に係る医療費の公費負担を行います。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84"/>
        </w:numPr>
        <w:autoSpaceDE w:val="0"/>
        <w:autoSpaceDN w:val="0"/>
        <w:adjustRightInd w:val="0"/>
        <w:spacing w:line="360" w:lineRule="exact"/>
        <w:jc w:val="left"/>
        <w:rPr>
          <w:rFonts w:hint="default"/>
          <w:spacing w:val="-4"/>
          <w:kern w:val="0"/>
          <w:sz w:val="22"/>
        </w:rPr>
      </w:pPr>
      <w:r>
        <w:rPr>
          <w:rFonts w:hint="eastAsia"/>
          <w:kern w:val="0"/>
        </w:rPr>
        <w:t>小児慢性特定疾病</w:t>
      </w:r>
      <w:r>
        <w:rPr>
          <w:rFonts w:hint="eastAsia"/>
          <w:spacing w:val="-4"/>
          <w:kern w:val="0"/>
          <w:vertAlign w:val="superscript"/>
        </w:rPr>
        <w:t>＊</w:t>
      </w:r>
      <w:r>
        <w:rPr>
          <w:rFonts w:hint="eastAsia"/>
          <w:kern w:val="0"/>
        </w:rPr>
        <w:t>児童等の健全育成や指定難病・特定疾患の治療・研究のため、医療費の一部を公費助成し負担軽減を図ります。</w:t>
      </w:r>
      <w:r>
        <w:rPr>
          <w:rFonts w:hint="eastAsia"/>
          <w:spacing w:val="-4"/>
          <w:kern w:val="0"/>
          <w:sz w:val="16"/>
        </w:rPr>
        <w:t>[</w:t>
      </w:r>
      <w:r>
        <w:rPr>
          <w:rFonts w:hint="eastAsia"/>
          <w:spacing w:val="-4"/>
          <w:kern w:val="0"/>
          <w:sz w:val="16"/>
        </w:rPr>
        <w:t>健康福祉部こども未来局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pacing w:val="-4"/>
          <w:kern w:val="0"/>
          <w:sz w:val="16"/>
        </w:rPr>
        <w:t>健康福祉部</w:t>
      </w:r>
      <w:r>
        <w:rPr>
          <w:rFonts w:hint="eastAsia"/>
          <w:color w:val="000000" w:themeColor="text1"/>
          <w:spacing w:val="-4"/>
          <w:kern w:val="0"/>
          <w:sz w:val="16"/>
        </w:rPr>
        <w:t>医療局</w:t>
      </w:r>
      <w:r>
        <w:rPr>
          <w:rFonts w:hint="eastAsia"/>
          <w:spacing w:val="-4"/>
          <w:kern w:val="0"/>
          <w:sz w:val="16"/>
        </w:rPr>
        <w:t>]</w:t>
      </w:r>
    </w:p>
    <w:p>
      <w:pPr>
        <w:pStyle w:val="0"/>
        <w:ind w:left="240" w:hanging="240" w:hangingChars="100"/>
        <w:rPr>
          <w:rFonts w:hint="default" w:ascii="ＭＳ ゴシック" w:hAnsi="ＭＳ ゴシック" w:eastAsia="ＭＳ ゴシック"/>
          <w:sz w:val="26"/>
          <w:u w:val="single" w:color="auto"/>
        </w:rPr>
      </w:pPr>
      <w:r>
        <w:rPr>
          <w:rFonts w:hint="eastAsia"/>
        </w:rPr>
        <w:br w:type="page"/>
      </w:r>
      <w:bookmarkStart w:id="121" w:name="_Toc503474081"/>
      <w:r>
        <w:rPr>
          <w:rFonts w:hint="eastAsia" w:ascii="ＭＳ ゴシック" w:hAnsi="ＭＳ ゴシック" w:eastAsia="ＭＳ ゴシック"/>
          <w:sz w:val="26"/>
          <w:u w:val="single" w:color="auto"/>
        </w:rPr>
        <w:t>６　施設の防災、防犯、</w:t>
      </w:r>
      <w:r>
        <w:rPr>
          <w:rFonts w:hint="eastAsia" w:ascii="ＭＳ ゴシック" w:hAnsi="ＭＳ ゴシック" w:eastAsia="ＭＳ ゴシック"/>
          <w:color w:val="000000" w:themeColor="text1"/>
          <w:sz w:val="26"/>
          <w:u w:val="single" w:color="auto"/>
        </w:rPr>
        <w:t>感染症</w:t>
      </w:r>
      <w:r>
        <w:rPr>
          <w:rFonts w:hint="eastAsia" w:ascii="ＭＳ ゴシック" w:hAnsi="ＭＳ ゴシック" w:eastAsia="ＭＳ ゴシック"/>
          <w:sz w:val="26"/>
          <w:u w:val="single" w:color="auto"/>
        </w:rPr>
        <w:t>対策の推進</w:t>
      </w:r>
      <w:bookmarkEnd w:id="121"/>
    </w:p>
    <w:p>
      <w:pPr>
        <w:pStyle w:val="0"/>
        <w:outlineLvl w:val="2"/>
        <w:rPr>
          <w:rFonts w:hint="default" w:ascii="ＭＳ ゴシック" w:hAnsi="ＭＳ ゴシック" w:eastAsia="ＭＳ ゴシック"/>
        </w:rPr>
      </w:pPr>
      <w:bookmarkStart w:id="122" w:name="_Toc503474085"/>
      <w:r>
        <w:rPr>
          <w:rFonts w:hint="eastAsia" w:ascii="ＭＳ ゴシック" w:hAnsi="ＭＳ ゴシック" w:eastAsia="ＭＳ ゴシック"/>
        </w:rPr>
        <w:t>（１）施設における防災体制・防犯対策の充実</w:t>
      </w:r>
      <w:bookmarkEnd w:id="122"/>
    </w:p>
    <w:p>
      <w:pPr>
        <w:pStyle w:val="0"/>
        <w:rPr>
          <w:rFonts w:hint="default"/>
        </w:rPr>
      </w:pPr>
      <w:r>
        <w:rPr>
          <w:rFonts w:hint="eastAsia" w:ascii="ＭＳ ゴシック" w:hAnsi="ＭＳ ゴシック" w:eastAsia="ＭＳ ゴシック"/>
        </w:rPr>
        <w:t>【現状と課題】</w:t>
      </w:r>
    </w:p>
    <w:p>
      <w:pPr>
        <w:pStyle w:val="0"/>
        <w:numPr>
          <w:ilvl w:val="0"/>
          <w:numId w:val="85"/>
        </w:numPr>
        <w:autoSpaceDE w:val="0"/>
        <w:autoSpaceDN w:val="0"/>
        <w:adjustRightInd w:val="0"/>
        <w:spacing w:line="360" w:lineRule="exact"/>
        <w:jc w:val="left"/>
        <w:rPr>
          <w:rFonts w:hint="default"/>
        </w:rPr>
      </w:pPr>
      <w:r>
        <w:rPr>
          <w:rFonts w:hint="eastAsia"/>
          <w:kern w:val="0"/>
        </w:rPr>
        <w:t>「障害のある方の実態調査」（</w:t>
      </w:r>
      <w:r>
        <w:rPr>
          <w:rFonts w:hint="eastAsia"/>
          <w:kern w:val="0"/>
        </w:rPr>
        <w:t>2020</w:t>
      </w:r>
      <w:r>
        <w:rPr>
          <w:rFonts w:hint="eastAsia"/>
          <w:kern w:val="0"/>
        </w:rPr>
        <w:t>年度）によると、災害等の緊急時に自宅又は施設から一人又は支援を受けながら安全に避難できる環境にあるかとの質問に対し、</w:t>
      </w:r>
      <w:r>
        <w:rPr>
          <w:rFonts w:hint="eastAsia"/>
          <w:color w:val="000000" w:themeColor="text1"/>
          <w:kern w:val="0"/>
        </w:rPr>
        <w:t>53.5</w:t>
      </w:r>
      <w:r>
        <w:rPr>
          <w:rFonts w:hint="eastAsia"/>
          <w:color w:val="000000" w:themeColor="text1"/>
          <w:kern w:val="0"/>
        </w:rPr>
        <w:t>％の人が「避難できる」と回答している反面、</w:t>
      </w:r>
      <w:r>
        <w:rPr>
          <w:rFonts w:hint="eastAsia"/>
          <w:color w:val="000000" w:themeColor="text1"/>
          <w:kern w:val="0"/>
        </w:rPr>
        <w:t>14.8</w:t>
      </w:r>
      <w:r>
        <w:rPr>
          <w:rFonts w:hint="eastAsia"/>
          <w:color w:val="000000" w:themeColor="text1"/>
          <w:kern w:val="0"/>
        </w:rPr>
        <w:t>％の人が「避難できない」、</w:t>
      </w:r>
      <w:r>
        <w:rPr>
          <w:rFonts w:hint="eastAsia"/>
          <w:color w:val="000000" w:themeColor="text1"/>
          <w:kern w:val="0"/>
        </w:rPr>
        <w:t>27.0</w:t>
      </w:r>
      <w:r>
        <w:rPr>
          <w:rFonts w:hint="eastAsia"/>
          <w:color w:val="000000" w:themeColor="text1"/>
          <w:kern w:val="0"/>
        </w:rPr>
        <w:t>％の人が「わからない」と回答しています。このうち、「避難できない」と回答した人が挙げた理由では、</w:t>
      </w:r>
      <w:r>
        <w:rPr>
          <w:rFonts w:hint="eastAsia"/>
          <w:color w:val="000000" w:themeColor="text1"/>
          <w:kern w:val="0"/>
        </w:rPr>
        <w:t>49.9</w:t>
      </w:r>
      <w:r>
        <w:rPr>
          <w:rFonts w:hint="eastAsia"/>
          <w:color w:val="000000" w:themeColor="text1"/>
          <w:kern w:val="0"/>
        </w:rPr>
        <w:t>％の人が「移動が難しいため」、</w:t>
      </w:r>
      <w:r>
        <w:rPr>
          <w:rFonts w:hint="eastAsia"/>
          <w:color w:val="000000" w:themeColor="text1"/>
          <w:kern w:val="0"/>
        </w:rPr>
        <w:t>26.7</w:t>
      </w:r>
      <w:r>
        <w:rPr>
          <w:rFonts w:hint="eastAsia"/>
          <w:color w:val="000000" w:themeColor="text1"/>
          <w:kern w:val="0"/>
        </w:rPr>
        <w:t>％の人が「緊急時という判断がつかないため」、</w:t>
      </w:r>
      <w:r>
        <w:rPr>
          <w:rFonts w:hint="eastAsia"/>
          <w:color w:val="000000" w:themeColor="text1"/>
          <w:kern w:val="0"/>
        </w:rPr>
        <w:t>26.1</w:t>
      </w:r>
      <w:r>
        <w:rPr>
          <w:rFonts w:hint="eastAsia"/>
          <w:color w:val="000000" w:themeColor="text1"/>
          <w:kern w:val="0"/>
        </w:rPr>
        <w:t>％</w:t>
      </w:r>
      <w:r>
        <w:rPr>
          <w:rFonts w:hint="eastAsia"/>
          <w:kern w:val="0"/>
        </w:rPr>
        <w:t>の人が「介助者が周りにいないため」と回答しています。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rPr>
      </w:pPr>
      <w:r>
        <w:rPr>
          <w:rFonts w:hint="eastAsia"/>
          <w:kern w:val="0"/>
        </w:rPr>
        <w:t>障害者支援施設等を利用する障害のある人が災害時に安全に避難するため、障害者支援施設等の耐震化を図るとともに、避難訓練の実施、正確で迅速な情報提供等施設における防災体制の充実が求められていま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rPr>
      </w:pPr>
      <w:r>
        <w:rPr>
          <w:rFonts w:hint="eastAsia"/>
        </w:rPr>
        <w:t>2016</w:t>
      </w:r>
      <w:r>
        <w:rPr>
          <w:rFonts w:hint="eastAsia"/>
        </w:rPr>
        <w:t>年７月、神奈川県の障害者支援施設において、多くの入所者が殺傷されるという痛ましい事件が発生しました。障害者支援施設等が地域に開かれた施設運営に努める中での想定外の事件であり、防犯対策を強化する必要があります。</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【県の取組】</w:t>
      </w:r>
    </w:p>
    <w:p>
      <w:pPr>
        <w:pStyle w:val="0"/>
        <w:spacing w:line="360" w:lineRule="exact"/>
        <w:rPr>
          <w:rFonts w:hint="default"/>
        </w:rPr>
      </w:pPr>
      <w:r>
        <w:rPr>
          <w:rFonts w:hint="eastAsia" w:ascii="ＭＳ ゴシック" w:hAnsi="ＭＳ ゴシック" w:eastAsia="ＭＳ ゴシック"/>
        </w:rPr>
        <w:t>　ア　防災体制の充実</w:t>
      </w:r>
    </w:p>
    <w:p>
      <w:pPr>
        <w:pStyle w:val="0"/>
        <w:numPr>
          <w:ilvl w:val="0"/>
          <w:numId w:val="86"/>
        </w:numPr>
        <w:autoSpaceDE w:val="0"/>
        <w:autoSpaceDN w:val="0"/>
        <w:adjustRightInd w:val="0"/>
        <w:spacing w:line="360" w:lineRule="exact"/>
        <w:jc w:val="left"/>
        <w:rPr>
          <w:rFonts w:hint="default"/>
          <w:spacing w:val="-4"/>
          <w:kern w:val="0"/>
          <w:sz w:val="16"/>
        </w:rPr>
      </w:pPr>
      <w:r>
        <w:rPr>
          <w:rFonts w:hint="eastAsia"/>
          <w:kern w:val="0"/>
        </w:rPr>
        <w:t>障害者支援施設等に対し、防災訓練・防災研修の実施、防災計画及び避難確保計画の策定を徹底するとともに、県主催の防災研修会による防災意識の啓発を図ります。更に地域の自主防災組織や企業と連携することにより、防災体制を強化するように指導します。</w:t>
      </w:r>
      <w:r>
        <w:rPr>
          <w:rFonts w:hint="eastAsia"/>
          <w:spacing w:val="-4"/>
          <w:kern w:val="0"/>
          <w:sz w:val="16"/>
        </w:rPr>
        <w:t>[</w:t>
      </w:r>
      <w:r>
        <w:rPr>
          <w:rFonts w:hint="eastAsia"/>
          <w:sz w:val="16"/>
        </w:rPr>
        <w:t>健康福祉部政策管理局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z w:val="16"/>
        </w:rPr>
        <w:t>健康福祉部</w:t>
      </w:r>
      <w:r>
        <w:rPr>
          <w:rFonts w:hint="eastAsia"/>
          <w:spacing w:val="-4"/>
          <w:kern w:val="0"/>
          <w:sz w:val="16"/>
        </w:rPr>
        <w:t>福祉長寿局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86"/>
        </w:numPr>
        <w:autoSpaceDE w:val="0"/>
        <w:autoSpaceDN w:val="0"/>
        <w:adjustRightInd w:val="0"/>
        <w:spacing w:line="360" w:lineRule="exact"/>
        <w:jc w:val="left"/>
        <w:rPr>
          <w:rFonts w:hint="default"/>
          <w:spacing w:val="-4"/>
          <w:kern w:val="0"/>
        </w:rPr>
      </w:pPr>
      <w:r>
        <w:rPr>
          <w:rFonts w:hint="eastAsia"/>
          <w:kern w:val="0"/>
        </w:rPr>
        <w:t>災害に迅速かつ適切に対応できるように障害者支援施設等に対し、災害対応マニュアル等の具体的な計画を策定することや食料その他生活に必要な物資を備蓄することを指導します。</w:t>
      </w:r>
      <w:r>
        <w:rPr>
          <w:rFonts w:hint="eastAsia"/>
          <w:spacing w:val="-4"/>
          <w:kern w:val="0"/>
          <w:sz w:val="16"/>
        </w:rPr>
        <w:t>[</w:t>
      </w:r>
      <w:r>
        <w:rPr>
          <w:rFonts w:hint="eastAsia"/>
          <w:spacing w:val="-4"/>
          <w:kern w:val="0"/>
          <w:sz w:val="16"/>
        </w:rPr>
        <w:t>健康福祉部政策管理局</w:t>
      </w:r>
      <w:r>
        <w:rPr>
          <w:rFonts w:hint="eastAsia"/>
          <w:spacing w:val="-4"/>
          <w:kern w:val="0"/>
          <w:sz w:val="16"/>
        </w:rPr>
        <w:t xml:space="preserve">] </w:t>
      </w:r>
      <w:r>
        <w:rPr>
          <w:rFonts w:hint="eastAsia"/>
          <w:spacing w:val="-4"/>
          <w:kern w:val="0"/>
          <w:sz w:val="16"/>
        </w:rPr>
        <w:t>、</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86"/>
        </w:numPr>
        <w:autoSpaceDE w:val="0"/>
        <w:autoSpaceDN w:val="0"/>
        <w:adjustRightInd w:val="0"/>
        <w:spacing w:line="360" w:lineRule="exact"/>
        <w:jc w:val="left"/>
        <w:rPr>
          <w:rFonts w:hint="default"/>
          <w:color w:val="000000" w:themeColor="text1"/>
          <w:spacing w:val="-4"/>
          <w:kern w:val="0"/>
        </w:rPr>
      </w:pPr>
      <w:r>
        <w:rPr>
          <w:rFonts w:hint="eastAsia"/>
          <w:kern w:val="0"/>
        </w:rPr>
        <w:t>障害者支援施設等については、地域の防災拠点とするため、</w:t>
      </w:r>
      <w:r>
        <w:rPr>
          <w:rFonts w:hint="eastAsia"/>
          <w:color w:val="000000" w:themeColor="text1"/>
          <w:kern w:val="0"/>
        </w:rPr>
        <w:t>地震、水害等の自然災害に対する防災機能を有する施設の整備を促進します。</w:t>
      </w:r>
      <w:r>
        <w:rPr>
          <w:rFonts w:hint="eastAsia"/>
          <w:color w:val="000000" w:themeColor="text1"/>
          <w:spacing w:val="-4"/>
          <w:kern w:val="0"/>
          <w:sz w:val="16"/>
        </w:rPr>
        <w:t>[</w:t>
      </w:r>
      <w:r>
        <w:rPr>
          <w:rFonts w:hint="eastAsia"/>
          <w:color w:val="000000" w:themeColor="text1"/>
          <w:sz w:val="16"/>
        </w:rPr>
        <w:t>健康福祉部</w:t>
      </w:r>
      <w:r>
        <w:rPr>
          <w:rFonts w:hint="eastAsia"/>
          <w:color w:val="000000" w:themeColor="text1"/>
          <w:spacing w:val="-4"/>
          <w:kern w:val="0"/>
          <w:sz w:val="16"/>
        </w:rPr>
        <w:t>障害者支援局</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spacing w:val="-4"/>
          <w:kern w:val="0"/>
        </w:rPr>
      </w:pPr>
    </w:p>
    <w:p>
      <w:pPr>
        <w:pStyle w:val="0"/>
        <w:numPr>
          <w:ilvl w:val="0"/>
          <w:numId w:val="86"/>
        </w:numPr>
        <w:autoSpaceDE w:val="0"/>
        <w:autoSpaceDN w:val="0"/>
        <w:adjustRightInd w:val="0"/>
        <w:spacing w:line="360" w:lineRule="exact"/>
        <w:jc w:val="left"/>
        <w:rPr>
          <w:rFonts w:hint="default"/>
        </w:rPr>
      </w:pPr>
      <w:r>
        <w:rPr>
          <w:rFonts w:hint="eastAsia"/>
          <w:color w:val="000000" w:themeColor="text1"/>
          <w:kern w:val="0"/>
        </w:rPr>
        <w:t>津波浸水予測による津波被害が想定される地域に立地する障害者支援施設等に対し、津波避難マニュアルの策定と津波避難訓練の実施を指導します。また、当該施設等が移転などを行う際には、</w:t>
      </w:r>
      <w:r>
        <w:rPr>
          <w:rFonts w:hint="eastAsia"/>
          <w:kern w:val="0"/>
        </w:rPr>
        <w:t>国の「社会福祉施設等施設整備費補助金」を活用して、優先的に高台移転等の整備を行います。</w:t>
      </w:r>
      <w:r>
        <w:rPr>
          <w:rFonts w:hint="eastAsia"/>
          <w:spacing w:val="-4"/>
          <w:kern w:val="0"/>
          <w:sz w:val="16"/>
        </w:rPr>
        <w:t>[</w:t>
      </w:r>
      <w:r>
        <w:rPr>
          <w:rFonts w:hint="eastAsia"/>
          <w:sz w:val="16"/>
        </w:rPr>
        <w:t>健康福祉部</w:t>
      </w:r>
      <w:r>
        <w:rPr>
          <w:rFonts w:hint="eastAsia"/>
          <w:spacing w:val="-4"/>
          <w:kern w:val="0"/>
          <w:sz w:val="16"/>
        </w:rPr>
        <w:t>障害者支援局</w:t>
      </w:r>
      <w:r>
        <w:rPr>
          <w:rFonts w:hint="eastAsia"/>
          <w:spacing w:val="-4"/>
          <w:kern w:val="0"/>
          <w:sz w:val="16"/>
        </w:rPr>
        <w:t xml:space="preserve">] </w:t>
      </w:r>
      <w:r>
        <w:rPr>
          <w:rFonts w:hint="eastAsia"/>
          <w:spacing w:val="-4"/>
          <w:kern w:val="0"/>
          <w:sz w:val="16"/>
        </w:rPr>
        <w:t>、</w:t>
      </w:r>
      <w:r>
        <w:rPr>
          <w:rFonts w:hint="eastAsia"/>
          <w:spacing w:val="-4"/>
          <w:kern w:val="0"/>
          <w:sz w:val="16"/>
        </w:rPr>
        <w:t>[</w:t>
      </w:r>
      <w:r>
        <w:rPr>
          <w:rFonts w:hint="eastAsia"/>
          <w:sz w:val="16"/>
        </w:rPr>
        <w:t>健康福祉部福祉長寿</w:t>
      </w:r>
      <w:r>
        <w:rPr>
          <w:rFonts w:hint="eastAsia"/>
          <w:spacing w:val="-4"/>
          <w:kern w:val="0"/>
          <w:sz w:val="16"/>
        </w:rPr>
        <w:t>局</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numPr>
          <w:ilvl w:val="0"/>
          <w:numId w:val="86"/>
        </w:numPr>
        <w:autoSpaceDE w:val="0"/>
        <w:autoSpaceDN w:val="0"/>
        <w:adjustRightInd w:val="0"/>
        <w:spacing w:line="360" w:lineRule="exact"/>
        <w:jc w:val="left"/>
        <w:rPr>
          <w:rFonts w:hint="default"/>
        </w:rPr>
      </w:pPr>
      <w:r>
        <w:rPr>
          <w:rFonts w:hint="eastAsia"/>
          <w:kern w:val="0"/>
        </w:rPr>
        <w:t>土砂災害警戒区域に存在する要配慮者</w:t>
      </w:r>
      <w:r>
        <w:rPr>
          <w:rFonts w:hint="eastAsia"/>
          <w:spacing w:val="-4"/>
          <w:kern w:val="0"/>
          <w:vertAlign w:val="superscript"/>
        </w:rPr>
        <w:t>＊</w:t>
      </w:r>
      <w:r>
        <w:rPr>
          <w:rFonts w:hint="eastAsia"/>
          <w:kern w:val="0"/>
        </w:rPr>
        <w:t>利用施設を保全するため、土砂災害防止施設の整備を行うとともに、土砂災害警戒情報の提供や市町による警戒避難体制の整備の支援を推進します。</w:t>
      </w:r>
      <w:r>
        <w:rPr>
          <w:rFonts w:hint="eastAsia"/>
          <w:spacing w:val="-4"/>
          <w:kern w:val="0"/>
          <w:sz w:val="16"/>
        </w:rPr>
        <w:t>[</w:t>
      </w:r>
      <w:r>
        <w:rPr>
          <w:rFonts w:hint="eastAsia"/>
          <w:spacing w:val="-4"/>
          <w:kern w:val="0"/>
          <w:sz w:val="16"/>
        </w:rPr>
        <w:t>交通基盤部河川砂防局</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spacing w:line="360" w:lineRule="exact"/>
        <w:rPr>
          <w:rFonts w:hint="default" w:ascii="ＭＳ ゴシック" w:hAnsi="ＭＳ ゴシック" w:eastAsia="ＭＳ ゴシック"/>
        </w:rPr>
      </w:pPr>
      <w:r>
        <w:rPr>
          <w:rFonts w:hint="eastAsia" w:ascii="ＭＳ ゴシック" w:hAnsi="ＭＳ ゴシック" w:eastAsia="ＭＳ ゴシック"/>
        </w:rPr>
        <w:t>　イ　防犯対策の充実</w:t>
      </w:r>
    </w:p>
    <w:p>
      <w:pPr>
        <w:pStyle w:val="0"/>
        <w:numPr>
          <w:ilvl w:val="0"/>
          <w:numId w:val="87"/>
        </w:numPr>
        <w:autoSpaceDE w:val="0"/>
        <w:autoSpaceDN w:val="0"/>
        <w:adjustRightInd w:val="0"/>
        <w:spacing w:line="360" w:lineRule="exact"/>
        <w:jc w:val="left"/>
        <w:rPr>
          <w:rFonts w:hint="default"/>
          <w:kern w:val="0"/>
        </w:rPr>
      </w:pPr>
      <w:r>
        <w:rPr>
          <w:rFonts w:hint="eastAsia"/>
          <w:kern w:val="0"/>
        </w:rPr>
        <w:t>防犯カメラ等の設備整備に対して、補助金の活用を支援します。</w:t>
      </w:r>
      <w:r>
        <w:rPr>
          <w:rFonts w:hint="eastAsia"/>
          <w:kern w:val="0"/>
          <w:sz w:val="16"/>
        </w:rPr>
        <w:t>[</w:t>
      </w:r>
      <w:r>
        <w:rPr>
          <w:rFonts w:hint="eastAsia"/>
          <w:kern w:val="0"/>
          <w:sz w:val="16"/>
        </w:rPr>
        <w:t>健康福祉部障害者支援局</w:t>
      </w:r>
      <w:r>
        <w:rPr>
          <w:rFonts w:hint="eastAsia"/>
          <w:kern w:val="0"/>
          <w:sz w:val="16"/>
        </w:rPr>
        <w:t>]</w:t>
      </w:r>
    </w:p>
    <w:p>
      <w:pPr>
        <w:pStyle w:val="0"/>
        <w:autoSpaceDE w:val="0"/>
        <w:autoSpaceDN w:val="0"/>
        <w:adjustRightInd w:val="0"/>
        <w:spacing w:line="360" w:lineRule="exact"/>
        <w:ind w:left="868"/>
        <w:jc w:val="left"/>
        <w:rPr>
          <w:rFonts w:hint="default"/>
          <w:kern w:val="0"/>
        </w:rPr>
      </w:pPr>
    </w:p>
    <w:p>
      <w:pPr>
        <w:pStyle w:val="0"/>
        <w:numPr>
          <w:ilvl w:val="0"/>
          <w:numId w:val="87"/>
        </w:numPr>
        <w:autoSpaceDE w:val="0"/>
        <w:autoSpaceDN w:val="0"/>
        <w:adjustRightInd w:val="0"/>
        <w:spacing w:line="360" w:lineRule="exact"/>
        <w:jc w:val="left"/>
        <w:rPr>
          <w:rFonts w:hint="default"/>
          <w:spacing w:val="-4"/>
          <w:kern w:val="0"/>
          <w:sz w:val="16"/>
        </w:rPr>
      </w:pPr>
      <w:r>
        <w:rPr>
          <w:rFonts w:hint="eastAsia"/>
          <w:kern w:val="0"/>
        </w:rPr>
        <w:t>県が作成した福祉施設防犯対策マニュアルを活用して、障害者支援施設等における防犯体制の確保に努めます。</w:t>
      </w:r>
      <w:r>
        <w:rPr>
          <w:rFonts w:hint="eastAsia"/>
          <w:spacing w:val="-4"/>
          <w:kern w:val="0"/>
          <w:sz w:val="16"/>
        </w:rPr>
        <w:t>[</w:t>
      </w:r>
      <w:r>
        <w:rPr>
          <w:rFonts w:hint="eastAsia"/>
          <w:sz w:val="16"/>
        </w:rPr>
        <w:t>健康福祉部</w:t>
      </w:r>
      <w:r>
        <w:rPr>
          <w:rFonts w:hint="eastAsia"/>
          <w:spacing w:val="-4"/>
          <w:kern w:val="0"/>
          <w:sz w:val="16"/>
        </w:rPr>
        <w:t>福祉長寿局</w:t>
      </w:r>
      <w:r>
        <w:rPr>
          <w:rFonts w:hint="eastAsia"/>
          <w:spacing w:val="-4"/>
          <w:kern w:val="0"/>
          <w:sz w:val="16"/>
        </w:rPr>
        <w:t>]</w:t>
      </w:r>
    </w:p>
    <w:p>
      <w:pPr>
        <w:pStyle w:val="0"/>
        <w:outlineLvl w:val="1"/>
        <w:rPr>
          <w:rFonts w:hint="default" w:ascii="ＭＳ ゴシック" w:hAnsi="ＭＳ ゴシック" w:eastAsia="ＭＳ ゴシック"/>
          <w:sz w:val="26"/>
          <w:u w:val="single" w:color="auto"/>
        </w:rPr>
      </w:pPr>
    </w:p>
    <w:p>
      <w:pPr>
        <w:pStyle w:val="0"/>
        <w:outlineLvl w:val="1"/>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（２）施設における感染症対策の充実</w:t>
      </w:r>
    </w:p>
    <w:p>
      <w:pPr>
        <w:pStyle w:val="0"/>
        <w:autoSpaceDE w:val="0"/>
        <w:autoSpaceDN w:val="0"/>
        <w:adjustRightInd w:val="0"/>
        <w:jc w:val="left"/>
        <w:rPr>
          <w:rFonts w:hint="default"/>
          <w:color w:val="000000" w:themeColor="text1"/>
          <w:spacing w:val="-4"/>
          <w:kern w:val="0"/>
        </w:rPr>
      </w:pPr>
      <w:r>
        <w:rPr>
          <w:rFonts w:hint="eastAsia" w:ascii="ＭＳ ゴシック" w:hAnsi="ＭＳ ゴシック" w:eastAsia="ＭＳ ゴシック"/>
          <w:color w:val="000000" w:themeColor="text1"/>
        </w:rPr>
        <w:t>【現状と課題】</w:t>
      </w:r>
    </w:p>
    <w:p>
      <w:pPr>
        <w:pStyle w:val="0"/>
        <w:numPr>
          <w:ilvl w:val="0"/>
          <w:numId w:val="36"/>
        </w:numPr>
        <w:autoSpaceDE w:val="0"/>
        <w:autoSpaceDN w:val="0"/>
        <w:adjustRightInd w:val="0"/>
        <w:spacing w:line="360" w:lineRule="exact"/>
        <w:jc w:val="left"/>
        <w:rPr>
          <w:rFonts w:hint="default"/>
          <w:color w:val="000000" w:themeColor="text1"/>
          <w:spacing w:val="-4"/>
          <w:kern w:val="0"/>
        </w:rPr>
      </w:pPr>
      <w:r>
        <w:rPr>
          <w:rFonts w:hint="eastAsia"/>
          <w:color w:val="000000" w:themeColor="text1"/>
          <w:spacing w:val="-4"/>
          <w:kern w:val="0"/>
        </w:rPr>
        <w:t>コロナ禍では、障害者支援施設等においてもクラスターの発生が見られたことから、十分に感染防止対策を行い、利用者に対して必要なサービス等が継続的に提供される必要があります。</w:t>
      </w:r>
    </w:p>
    <w:p>
      <w:pPr>
        <w:pStyle w:val="0"/>
        <w:outlineLvl w:val="1"/>
        <w:rPr>
          <w:rFonts w:hint="default" w:ascii="ＭＳ ゴシック" w:hAnsi="ＭＳ ゴシック" w:eastAsia="ＭＳ ゴシック"/>
          <w:color w:val="000000" w:themeColor="text1"/>
        </w:rPr>
      </w:pPr>
    </w:p>
    <w:p>
      <w:pPr>
        <w:pStyle w:val="0"/>
        <w:outlineLvl w:val="1"/>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【県の取組】</w:t>
      </w:r>
    </w:p>
    <w:p>
      <w:pPr>
        <w:pStyle w:val="0"/>
        <w:autoSpaceDE w:val="0"/>
        <w:autoSpaceDN w:val="0"/>
        <w:adjustRightInd w:val="0"/>
        <w:spacing w:line="360" w:lineRule="exact"/>
        <w:ind w:left="562" w:leftChars="100" w:hanging="322" w:hangingChars="139"/>
        <w:jc w:val="left"/>
        <w:rPr>
          <w:rFonts w:hint="default"/>
          <w:color w:val="000000" w:themeColor="text1"/>
          <w:kern w:val="0"/>
        </w:rPr>
      </w:pPr>
      <w:r>
        <w:rPr>
          <w:rFonts w:hint="eastAsia"/>
          <w:color w:val="000000" w:themeColor="text1"/>
          <w:spacing w:val="-4"/>
          <w:kern w:val="0"/>
        </w:rPr>
        <w:t>①</w:t>
      </w:r>
      <w:r>
        <w:rPr>
          <w:rFonts w:hint="eastAsia"/>
          <w:color w:val="000000" w:themeColor="text1"/>
          <w:spacing w:val="-4"/>
          <w:kern w:val="0"/>
        </w:rPr>
        <w:t xml:space="preserve"> </w:t>
      </w:r>
      <w:r>
        <w:rPr>
          <w:rFonts w:hint="eastAsia"/>
          <w:color w:val="000000" w:themeColor="text1"/>
          <w:spacing w:val="-4"/>
          <w:kern w:val="0"/>
        </w:rPr>
        <w:t>新型コロナウイルス感染症等の感染症への対応については、感染対策マニュアルや事業継続計画等の活用による、感染防止対策等の徹底を促進していきます。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kern w:val="0"/>
        </w:rPr>
      </w:pPr>
    </w:p>
    <w:p>
      <w:pPr>
        <w:pStyle w:val="0"/>
        <w:autoSpaceDE w:val="0"/>
        <w:autoSpaceDN w:val="0"/>
        <w:adjustRightInd w:val="0"/>
        <w:spacing w:line="360" w:lineRule="exact"/>
        <w:ind w:left="564" w:leftChars="100" w:hanging="324" w:hangingChars="135"/>
        <w:jc w:val="left"/>
        <w:rPr>
          <w:rFonts w:hint="default"/>
          <w:color w:val="000000" w:themeColor="text1"/>
          <w:kern w:val="0"/>
        </w:rPr>
      </w:pPr>
      <w:r>
        <w:rPr>
          <w:rFonts w:hint="eastAsia"/>
          <w:color w:val="000000" w:themeColor="text1"/>
          <w:kern w:val="0"/>
        </w:rPr>
        <w:t>②</w:t>
      </w:r>
      <w:r>
        <w:rPr>
          <w:rFonts w:hint="eastAsia"/>
          <w:color w:val="000000" w:themeColor="text1"/>
          <w:kern w:val="0"/>
        </w:rPr>
        <w:t xml:space="preserve"> </w:t>
      </w:r>
      <w:r>
        <w:rPr>
          <w:rFonts w:hint="eastAsia"/>
          <w:color w:val="000000" w:themeColor="text1"/>
          <w:kern w:val="0"/>
        </w:rPr>
        <w:t>感染防止に向けた指導・助言を行うため、感染症対策専門家の派遣を行います。</w:t>
      </w:r>
      <w:r>
        <w:rPr>
          <w:rFonts w:hint="eastAsia"/>
          <w:color w:val="000000" w:themeColor="text1"/>
          <w:kern w:val="0"/>
          <w:sz w:val="16"/>
        </w:rPr>
        <w:t>[</w:t>
      </w:r>
      <w:r>
        <w:rPr>
          <w:rFonts w:hint="eastAsia"/>
          <w:color w:val="000000" w:themeColor="text1"/>
          <w:kern w:val="0"/>
          <w:sz w:val="16"/>
        </w:rPr>
        <w:t>健康福祉部障害者支援局</w:t>
      </w:r>
      <w:r>
        <w:rPr>
          <w:rFonts w:hint="eastAsia"/>
          <w:color w:val="000000" w:themeColor="text1"/>
          <w:kern w:val="0"/>
          <w:sz w:val="16"/>
        </w:rPr>
        <w:t>]</w:t>
      </w:r>
    </w:p>
    <w:p>
      <w:pPr>
        <w:pStyle w:val="0"/>
        <w:autoSpaceDE w:val="0"/>
        <w:autoSpaceDN w:val="0"/>
        <w:adjustRightInd w:val="0"/>
        <w:spacing w:line="360" w:lineRule="exact"/>
        <w:jc w:val="left"/>
        <w:rPr>
          <w:rFonts w:hint="default"/>
          <w:color w:val="000000" w:themeColor="text1"/>
          <w:kern w:val="0"/>
        </w:rPr>
      </w:pPr>
    </w:p>
    <w:p>
      <w:pPr>
        <w:pStyle w:val="0"/>
        <w:autoSpaceDE w:val="0"/>
        <w:autoSpaceDN w:val="0"/>
        <w:adjustRightInd w:val="0"/>
        <w:spacing w:line="360" w:lineRule="exact"/>
        <w:ind w:left="564" w:leftChars="100" w:hanging="324" w:hangingChars="135"/>
        <w:jc w:val="left"/>
        <w:rPr>
          <w:rFonts w:hint="default"/>
          <w:color w:val="000000" w:themeColor="text1"/>
          <w:kern w:val="0"/>
        </w:rPr>
      </w:pPr>
      <w:r>
        <w:rPr>
          <w:rFonts w:hint="eastAsia"/>
          <w:color w:val="000000" w:themeColor="text1"/>
          <w:kern w:val="0"/>
        </w:rPr>
        <w:t>③</w:t>
      </w:r>
      <w:r>
        <w:rPr>
          <w:rFonts w:hint="eastAsia"/>
          <w:color w:val="000000" w:themeColor="text1"/>
          <w:kern w:val="0"/>
        </w:rPr>
        <w:t xml:space="preserve"> </w:t>
      </w:r>
      <w:r>
        <w:rPr>
          <w:rFonts w:hint="eastAsia"/>
          <w:color w:val="000000" w:themeColor="text1"/>
          <w:kern w:val="0"/>
        </w:rPr>
        <w:t>施設内感染発生時の人材確保のため、施設間での相互支援体制の確保を推進します。</w:t>
      </w:r>
      <w:r>
        <w:rPr>
          <w:rFonts w:hint="eastAsia"/>
          <w:color w:val="000000" w:themeColor="text1"/>
          <w:kern w:val="0"/>
          <w:sz w:val="16"/>
        </w:rPr>
        <w:t>[</w:t>
      </w:r>
      <w:r>
        <w:rPr>
          <w:rFonts w:hint="eastAsia"/>
          <w:color w:val="000000" w:themeColor="text1"/>
          <w:kern w:val="0"/>
          <w:sz w:val="16"/>
        </w:rPr>
        <w:t>健康福祉部障害者支援局</w:t>
      </w:r>
      <w:r>
        <w:rPr>
          <w:rFonts w:hint="eastAsia"/>
          <w:color w:val="000000" w:themeColor="text1"/>
          <w:kern w:val="0"/>
          <w:sz w:val="16"/>
        </w:rPr>
        <w:t>]</w:t>
      </w:r>
    </w:p>
    <w:p>
      <w:pPr>
        <w:pStyle w:val="0"/>
        <w:autoSpaceDE w:val="0"/>
        <w:autoSpaceDN w:val="0"/>
        <w:adjustRightInd w:val="0"/>
        <w:spacing w:line="360" w:lineRule="exact"/>
        <w:ind w:left="240" w:leftChars="100"/>
        <w:jc w:val="left"/>
        <w:rPr>
          <w:rFonts w:hint="default"/>
          <w:color w:val="000000" w:themeColor="text1"/>
          <w:kern w:val="0"/>
        </w:rPr>
      </w:pPr>
    </w:p>
    <w:p>
      <w:pPr>
        <w:pStyle w:val="0"/>
        <w:autoSpaceDE w:val="0"/>
        <w:autoSpaceDN w:val="0"/>
        <w:adjustRightInd w:val="0"/>
        <w:spacing w:line="360" w:lineRule="exact"/>
        <w:ind w:firstLine="240" w:firstLineChars="100"/>
        <w:jc w:val="left"/>
        <w:rPr>
          <w:rFonts w:hint="default"/>
          <w:color w:val="000000" w:themeColor="text1"/>
          <w:kern w:val="0"/>
        </w:rPr>
      </w:pPr>
      <w:r>
        <w:rPr>
          <w:rFonts w:hint="eastAsia"/>
          <w:color w:val="000000" w:themeColor="text1"/>
          <w:kern w:val="0"/>
        </w:rPr>
        <w:t>④</w:t>
      </w:r>
      <w:r>
        <w:rPr>
          <w:rFonts w:hint="eastAsia"/>
          <w:color w:val="000000" w:themeColor="text1"/>
          <w:kern w:val="0"/>
        </w:rPr>
        <w:t xml:space="preserve"> </w:t>
      </w:r>
      <w:r>
        <w:rPr>
          <w:rFonts w:hint="eastAsia"/>
          <w:color w:val="000000" w:themeColor="text1"/>
          <w:kern w:val="0"/>
        </w:rPr>
        <w:t>施設職員の感染防止対策のための衛生資材を備蓄します。</w:t>
      </w:r>
      <w:r>
        <w:rPr>
          <w:rFonts w:hint="eastAsia"/>
          <w:color w:val="000000" w:themeColor="text1"/>
          <w:kern w:val="0"/>
          <w:sz w:val="16"/>
        </w:rPr>
        <w:t>[</w:t>
      </w:r>
      <w:r>
        <w:rPr>
          <w:rFonts w:hint="eastAsia"/>
          <w:color w:val="000000" w:themeColor="text1"/>
          <w:kern w:val="0"/>
          <w:sz w:val="16"/>
        </w:rPr>
        <w:t>健康福祉部障害者支援局</w:t>
      </w:r>
      <w:r>
        <w:rPr>
          <w:rFonts w:hint="eastAsia"/>
          <w:color w:val="000000" w:themeColor="text1"/>
          <w:kern w:val="0"/>
          <w:sz w:val="16"/>
        </w:rPr>
        <w:t>]</w:t>
      </w:r>
    </w:p>
    <w:p>
      <w:pPr>
        <w:pStyle w:val="0"/>
        <w:autoSpaceDE w:val="0"/>
        <w:autoSpaceDN w:val="0"/>
        <w:adjustRightInd w:val="0"/>
        <w:spacing w:line="360" w:lineRule="exact"/>
        <w:jc w:val="left"/>
        <w:rPr>
          <w:rFonts w:hint="default"/>
          <w:color w:val="000000" w:themeColor="text1"/>
          <w:kern w:val="0"/>
        </w:rPr>
      </w:pPr>
      <w:r>
        <w:rPr>
          <w:rFonts w:hint="eastAsia"/>
          <w:color w:val="000000" w:themeColor="text1"/>
          <w:kern w:val="0"/>
        </w:rPr>
        <w:t xml:space="preserve"> </w:t>
      </w:r>
    </w:p>
    <w:p>
      <w:pPr>
        <w:pStyle w:val="0"/>
        <w:autoSpaceDE w:val="0"/>
        <w:autoSpaceDN w:val="0"/>
        <w:adjustRightInd w:val="0"/>
        <w:spacing w:line="360" w:lineRule="exact"/>
        <w:ind w:left="564" w:leftChars="100" w:hanging="324" w:hangingChars="135"/>
        <w:jc w:val="left"/>
        <w:rPr>
          <w:rFonts w:hint="default"/>
          <w:color w:val="000000" w:themeColor="text1"/>
          <w:kern w:val="0"/>
        </w:rPr>
      </w:pPr>
      <w:r>
        <w:rPr>
          <w:rFonts w:hint="eastAsia"/>
          <w:color w:val="000000" w:themeColor="text1"/>
          <w:kern w:val="0"/>
        </w:rPr>
        <w:t>⑤</w:t>
      </w:r>
      <w:r>
        <w:rPr>
          <w:rFonts w:hint="eastAsia"/>
          <w:color w:val="000000" w:themeColor="text1"/>
          <w:kern w:val="0"/>
        </w:rPr>
        <w:t xml:space="preserve"> </w:t>
      </w:r>
      <w:r>
        <w:rPr>
          <w:rFonts w:hint="eastAsia"/>
          <w:color w:val="000000" w:themeColor="text1"/>
          <w:kern w:val="0"/>
        </w:rPr>
        <w:t>事業所におけるオンライン面談等を可能にするため、</w:t>
      </w:r>
      <w:r>
        <w:rPr>
          <w:rFonts w:hint="eastAsia"/>
          <w:color w:val="000000" w:themeColor="text1"/>
          <w:kern w:val="0"/>
        </w:rPr>
        <w:t>ICT</w:t>
      </w:r>
      <w:r>
        <w:rPr>
          <w:rFonts w:hint="eastAsia"/>
          <w:color w:val="000000" w:themeColor="text1"/>
          <w:kern w:val="0"/>
        </w:rPr>
        <w:t>導入の支援を行います。</w:t>
      </w:r>
      <w:r>
        <w:rPr>
          <w:rFonts w:hint="eastAsia"/>
          <w:color w:val="000000" w:themeColor="text1"/>
          <w:kern w:val="0"/>
          <w:sz w:val="16"/>
        </w:rPr>
        <w:t>[</w:t>
      </w:r>
      <w:r>
        <w:rPr>
          <w:rFonts w:hint="eastAsia"/>
          <w:color w:val="000000" w:themeColor="text1"/>
          <w:kern w:val="0"/>
          <w:sz w:val="16"/>
        </w:rPr>
        <w:t>健康福祉部障害者支援局</w:t>
      </w:r>
      <w:r>
        <w:rPr>
          <w:rFonts w:hint="eastAsia"/>
          <w:color w:val="000000" w:themeColor="text1"/>
          <w:kern w:val="0"/>
          <w:sz w:val="16"/>
        </w:rPr>
        <w:t>]</w:t>
      </w:r>
    </w:p>
    <w:p>
      <w:pPr>
        <w:pStyle w:val="0"/>
        <w:outlineLvl w:val="1"/>
        <w:rPr>
          <w:rFonts w:hint="default" w:ascii="ＭＳ ゴシック" w:hAnsi="ＭＳ ゴシック" w:eastAsia="ＭＳ ゴシック"/>
          <w:sz w:val="26"/>
          <w:u w:val="single" w:color="auto"/>
        </w:rPr>
      </w:pPr>
      <w:r>
        <w:rPr>
          <w:rFonts w:hint="eastAsia"/>
        </w:rPr>
        <w:br w:type="page"/>
      </w:r>
      <w:bookmarkStart w:id="123" w:name="_Toc503474086"/>
      <w:r>
        <w:rPr>
          <w:rFonts w:hint="eastAsia" w:ascii="ＭＳ ゴシック" w:hAnsi="ＭＳ ゴシック" w:eastAsia="ＭＳ ゴシック"/>
          <w:sz w:val="26"/>
          <w:u w:val="single" w:color="auto"/>
        </w:rPr>
        <w:t>７　安心して暮らせるまちづくり</w:t>
      </w:r>
      <w:bookmarkEnd w:id="123"/>
    </w:p>
    <w:p>
      <w:pPr>
        <w:pStyle w:val="0"/>
        <w:outlineLvl w:val="2"/>
        <w:rPr>
          <w:rFonts w:hint="default" w:ascii="ＭＳ ゴシック" w:hAnsi="ＭＳ ゴシック" w:eastAsia="ＭＳ ゴシック"/>
        </w:rPr>
      </w:pPr>
      <w:bookmarkStart w:id="124" w:name="_Toc503474087"/>
      <w:r>
        <w:rPr>
          <w:rFonts w:hint="eastAsia" w:ascii="ＭＳ ゴシック" w:hAnsi="ＭＳ ゴシック" w:eastAsia="ＭＳ ゴシック"/>
        </w:rPr>
        <w:t>（１）ユニバーサルデザイン</w:t>
      </w:r>
      <w:r>
        <w:rPr>
          <w:rFonts w:hint="eastAsia"/>
          <w:spacing w:val="-4"/>
          <w:kern w:val="0"/>
          <w:vertAlign w:val="superscript"/>
        </w:rPr>
        <w:t>＊</w:t>
      </w:r>
      <w:r>
        <w:rPr>
          <w:rFonts w:hint="eastAsia" w:ascii="ＭＳ ゴシック" w:hAnsi="ＭＳ ゴシック" w:eastAsia="ＭＳ ゴシック"/>
        </w:rPr>
        <w:t>に基づくまちづくりの整備促進</w:t>
      </w:r>
      <w:bookmarkEnd w:id="124"/>
    </w:p>
    <w:p>
      <w:pPr>
        <w:pStyle w:val="0"/>
        <w:rPr>
          <w:rFonts w:hint="default"/>
        </w:rPr>
      </w:pPr>
      <w:r>
        <w:rPr>
          <w:rFonts w:hint="eastAsia" w:ascii="ＭＳ ゴシック" w:hAnsi="ＭＳ ゴシック" w:eastAsia="ＭＳ ゴシック"/>
        </w:rPr>
        <w:t>【現状と課題】</w:t>
      </w:r>
    </w:p>
    <w:p>
      <w:pPr>
        <w:pStyle w:val="0"/>
        <w:numPr>
          <w:ilvl w:val="0"/>
          <w:numId w:val="88"/>
        </w:numPr>
        <w:autoSpaceDE w:val="0"/>
        <w:autoSpaceDN w:val="0"/>
        <w:adjustRightInd w:val="0"/>
        <w:spacing w:line="360" w:lineRule="exact"/>
        <w:jc w:val="left"/>
        <w:rPr>
          <w:rFonts w:hint="default"/>
        </w:rPr>
      </w:pPr>
      <w:r>
        <w:rPr>
          <w:rFonts w:hint="eastAsia"/>
          <w:kern w:val="0"/>
        </w:rPr>
        <w:t>障害のある人が地域で生活していくためには、建物や道路の段差の解消や多機能トイレの設置など、障害のある人が生活しやすい環境の整備が必要です。誰にとっても生活しやすいというユニバーサルデザイン</w:t>
      </w:r>
      <w:r>
        <w:rPr>
          <w:rFonts w:hint="eastAsia"/>
          <w:spacing w:val="-4"/>
          <w:kern w:val="0"/>
          <w:vertAlign w:val="superscript"/>
        </w:rPr>
        <w:t>＊</w:t>
      </w:r>
      <w:r>
        <w:rPr>
          <w:rFonts w:hint="eastAsia"/>
          <w:kern w:val="0"/>
        </w:rPr>
        <w:t>の考え方を県として積極的に推し進めていく必要があります。</w:t>
      </w:r>
    </w:p>
    <w:p>
      <w:pPr>
        <w:pStyle w:val="0"/>
        <w:autoSpaceDE w:val="0"/>
        <w:autoSpaceDN w:val="0"/>
        <w:adjustRightInd w:val="0"/>
        <w:spacing w:line="360" w:lineRule="exact"/>
        <w:ind w:left="576"/>
        <w:jc w:val="left"/>
        <w:rPr>
          <w:rFonts w:hint="default"/>
        </w:rPr>
      </w:pPr>
    </w:p>
    <w:p>
      <w:pPr>
        <w:pStyle w:val="0"/>
        <w:numPr>
          <w:ilvl w:val="0"/>
          <w:numId w:val="36"/>
        </w:numPr>
        <w:autoSpaceDE w:val="0"/>
        <w:autoSpaceDN w:val="0"/>
        <w:adjustRightInd w:val="0"/>
        <w:spacing w:line="360" w:lineRule="exact"/>
        <w:jc w:val="left"/>
        <w:rPr>
          <w:rFonts w:hint="default"/>
          <w:color w:val="000000" w:themeColor="text1"/>
          <w:kern w:val="0"/>
        </w:rPr>
      </w:pPr>
      <w:r>
        <w:rPr>
          <w:rFonts w:hint="eastAsia"/>
          <w:kern w:val="0"/>
        </w:rPr>
        <w:t>「障害のある方の実態調査」（</w:t>
      </w:r>
      <w:r>
        <w:rPr>
          <w:rFonts w:hint="eastAsia"/>
          <w:kern w:val="0"/>
        </w:rPr>
        <w:t>2020</w:t>
      </w:r>
      <w:r>
        <w:rPr>
          <w:rFonts w:hint="eastAsia"/>
          <w:kern w:val="0"/>
        </w:rPr>
        <w:t>年度）によると、街のバリアフリー化の進捗について、</w:t>
      </w:r>
      <w:r>
        <w:rPr>
          <w:rFonts w:hint="eastAsia"/>
          <w:color w:val="000000" w:themeColor="text1"/>
          <w:kern w:val="0"/>
        </w:rPr>
        <w:t>40.9</w:t>
      </w:r>
      <w:r>
        <w:rPr>
          <w:rFonts w:hint="eastAsia"/>
          <w:color w:val="000000" w:themeColor="text1"/>
          <w:kern w:val="0"/>
        </w:rPr>
        <w:t>％の方が「十分進んでいる」又は「ある程度進んでいる」と回答している一方、重い障害となる身体障害者手帳１級所持者の</w:t>
      </w:r>
      <w:r>
        <w:rPr>
          <w:rFonts w:hint="eastAsia"/>
          <w:color w:val="000000" w:themeColor="text1"/>
          <w:kern w:val="0"/>
        </w:rPr>
        <w:t>36.9</w:t>
      </w:r>
      <w:r>
        <w:rPr>
          <w:rFonts w:hint="eastAsia"/>
          <w:color w:val="000000" w:themeColor="text1"/>
          <w:kern w:val="0"/>
        </w:rPr>
        <w:t>％、療育手帳Ａ所持者の</w:t>
      </w:r>
      <w:r>
        <w:rPr>
          <w:rFonts w:hint="eastAsia"/>
          <w:color w:val="000000" w:themeColor="text1"/>
          <w:kern w:val="0"/>
        </w:rPr>
        <w:t>30.6</w:t>
      </w:r>
      <w:r>
        <w:rPr>
          <w:rFonts w:hint="eastAsia"/>
          <w:color w:val="000000" w:themeColor="text1"/>
          <w:kern w:val="0"/>
        </w:rPr>
        <w:t>％の人が、バリアフリーについて「あまり進んでいない」と回答しており、更にバリアフリー化を推進していく必要があります。</w:t>
      </w:r>
    </w:p>
    <w:p>
      <w:pPr>
        <w:pStyle w:val="0"/>
        <w:rPr>
          <w:rFonts w:hint="default"/>
          <w:color w:val="000000" w:themeColor="text1"/>
        </w:rPr>
      </w:pPr>
    </w:p>
    <w:p>
      <w:pPr>
        <w:pStyle w:val="0"/>
        <w:rPr>
          <w:rFonts w:hint="default"/>
          <w:color w:val="000000" w:themeColor="text1"/>
        </w:rPr>
      </w:pPr>
      <w:r>
        <w:rPr>
          <w:rFonts w:hint="eastAsia" w:ascii="ＭＳ ゴシック" w:hAnsi="ＭＳ ゴシック" w:eastAsia="ＭＳ ゴシック"/>
          <w:color w:val="000000" w:themeColor="text1"/>
        </w:rPr>
        <w:t>【県の取組】</w:t>
      </w:r>
    </w:p>
    <w:p>
      <w:pPr>
        <w:pStyle w:val="0"/>
        <w:spacing w:line="360" w:lineRule="exact"/>
        <w:ind w:firstLine="240" w:firstLineChars="100"/>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ア　</w:t>
      </w:r>
      <w:r>
        <w:rPr>
          <w:rFonts w:hint="eastAsia" w:ascii="ＭＳ ゴシック" w:hAnsi="ＭＳ ゴシック" w:eastAsia="ＭＳ ゴシック"/>
          <w:color w:val="000000" w:themeColor="text1"/>
          <w:kern w:val="16"/>
        </w:rPr>
        <w:t>ユニバーサルデザイン</w:t>
      </w:r>
      <w:r>
        <w:rPr>
          <w:rFonts w:hint="eastAsia"/>
          <w:spacing w:val="-4"/>
          <w:kern w:val="0"/>
          <w:vertAlign w:val="superscript"/>
        </w:rPr>
        <w:t>＊</w:t>
      </w:r>
      <w:r>
        <w:rPr>
          <w:rFonts w:hint="eastAsia" w:ascii="ＭＳ ゴシック" w:hAnsi="ＭＳ ゴシック" w:eastAsia="ＭＳ ゴシック"/>
          <w:color w:val="000000" w:themeColor="text1"/>
          <w:kern w:val="16"/>
        </w:rPr>
        <w:t>に基づくまちづくりの普及啓発</w:t>
      </w:r>
    </w:p>
    <w:p>
      <w:pPr>
        <w:pStyle w:val="0"/>
        <w:numPr>
          <w:ilvl w:val="0"/>
          <w:numId w:val="89"/>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kern w:val="0"/>
        </w:rPr>
        <w:t>「静岡県福祉のまちづくり条例」</w:t>
      </w:r>
      <w:r>
        <w:rPr>
          <w:rFonts w:hint="eastAsia"/>
          <w:spacing w:val="-4"/>
          <w:kern w:val="0"/>
          <w:vertAlign w:val="superscript"/>
        </w:rPr>
        <w:t>＊</w:t>
      </w:r>
      <w:r>
        <w:rPr>
          <w:rFonts w:hint="eastAsia"/>
          <w:color w:val="000000" w:themeColor="text1"/>
          <w:kern w:val="0"/>
        </w:rPr>
        <w:t>やユニバーサルデザインの考え方などに基づき、すべての人に配慮した施設・設備の整備や福祉のまちづくりについて、普及・定着を図ります。</w:t>
      </w:r>
      <w:r>
        <w:rPr>
          <w:rFonts w:hint="eastAsia"/>
          <w:color w:val="000000" w:themeColor="text1"/>
          <w:spacing w:val="-4"/>
          <w:kern w:val="0"/>
          <w:sz w:val="16"/>
        </w:rPr>
        <w:t>[</w:t>
      </w:r>
      <w:r>
        <w:rPr>
          <w:rFonts w:hint="eastAsia"/>
          <w:color w:val="000000" w:themeColor="text1"/>
          <w:spacing w:val="-4"/>
          <w:kern w:val="0"/>
          <w:sz w:val="16"/>
        </w:rPr>
        <w:t>健康福祉部福祉長寿局</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spacing w:val="-4"/>
          <w:kern w:val="0"/>
          <w:sz w:val="16"/>
        </w:rPr>
      </w:pPr>
    </w:p>
    <w:p>
      <w:pPr>
        <w:pStyle w:val="0"/>
        <w:numPr>
          <w:ilvl w:val="0"/>
          <w:numId w:val="89"/>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kern w:val="0"/>
        </w:rPr>
        <w:t>障害のある人や高齢者など誰もが社会参加しやすい環境の整備に向けて、利用しやすい施設や設備などの情報提供を行います。</w:t>
      </w:r>
      <w:r>
        <w:rPr>
          <w:rFonts w:hint="eastAsia"/>
          <w:color w:val="000000" w:themeColor="text1"/>
          <w:spacing w:val="-4"/>
          <w:kern w:val="0"/>
          <w:sz w:val="16"/>
        </w:rPr>
        <w:t>[</w:t>
      </w:r>
      <w:r>
        <w:rPr>
          <w:rFonts w:hint="eastAsia"/>
          <w:color w:val="000000" w:themeColor="text1"/>
          <w:spacing w:val="-4"/>
          <w:kern w:val="0"/>
          <w:sz w:val="16"/>
        </w:rPr>
        <w:t>健康福祉部福祉長寿局</w:t>
      </w:r>
      <w:r>
        <w:rPr>
          <w:rFonts w:hint="eastAsia"/>
          <w:color w:val="000000" w:themeColor="text1"/>
          <w:spacing w:val="-4"/>
          <w:kern w:val="0"/>
          <w:sz w:val="16"/>
        </w:rPr>
        <w:t xml:space="preserve">] </w:t>
      </w:r>
      <w:r>
        <w:rPr>
          <w:rFonts w:hint="eastAsia"/>
          <w:color w:val="000000" w:themeColor="text1"/>
          <w:spacing w:val="-4"/>
          <w:kern w:val="0"/>
          <w:sz w:val="16"/>
        </w:rPr>
        <w:t>、</w:t>
      </w:r>
      <w:r>
        <w:rPr>
          <w:rFonts w:hint="eastAsia"/>
          <w:color w:val="000000" w:themeColor="text1"/>
          <w:spacing w:val="-4"/>
          <w:kern w:val="0"/>
          <w:sz w:val="16"/>
        </w:rPr>
        <w:t>[</w:t>
      </w:r>
      <w:r>
        <w:rPr>
          <w:rFonts w:hint="eastAsia"/>
          <w:color w:val="000000" w:themeColor="text1"/>
          <w:kern w:val="0"/>
          <w:sz w:val="16"/>
        </w:rPr>
        <w:t>文化・観光部観光交流局</w:t>
      </w:r>
      <w:r>
        <w:rPr>
          <w:rFonts w:hint="eastAsia"/>
          <w:color w:val="000000" w:themeColor="text1"/>
          <w:kern w:val="0"/>
          <w:sz w:val="16"/>
        </w:rPr>
        <w:t>]</w:t>
      </w:r>
      <w:r>
        <w:rPr>
          <w:rFonts w:hint="eastAsia"/>
          <w:color w:val="000000" w:themeColor="text1"/>
          <w:kern w:val="0"/>
          <w:sz w:val="16"/>
        </w:rPr>
        <w:t>、</w:t>
      </w:r>
    </w:p>
    <w:p>
      <w:pPr>
        <w:pStyle w:val="0"/>
        <w:autoSpaceDE w:val="0"/>
        <w:autoSpaceDN w:val="0"/>
        <w:adjustRightInd w:val="0"/>
        <w:spacing w:line="360" w:lineRule="exact"/>
        <w:ind w:left="868"/>
        <w:jc w:val="left"/>
        <w:rPr>
          <w:rFonts w:hint="default"/>
          <w:color w:val="000000" w:themeColor="text1"/>
          <w:spacing w:val="-4"/>
          <w:kern w:val="0"/>
          <w:sz w:val="16"/>
        </w:rPr>
      </w:pPr>
    </w:p>
    <w:p>
      <w:pPr>
        <w:pStyle w:val="0"/>
        <w:numPr>
          <w:ilvl w:val="0"/>
          <w:numId w:val="89"/>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kern w:val="0"/>
        </w:rPr>
        <w:t>ユニバーサルデザイン</w:t>
      </w:r>
      <w:r>
        <w:rPr>
          <w:rFonts w:hint="eastAsia"/>
          <w:spacing w:val="-4"/>
          <w:kern w:val="0"/>
          <w:vertAlign w:val="superscript"/>
        </w:rPr>
        <w:t>＊</w:t>
      </w:r>
      <w:r>
        <w:rPr>
          <w:rFonts w:hint="eastAsia"/>
          <w:color w:val="000000" w:themeColor="text1"/>
          <w:kern w:val="0"/>
        </w:rPr>
        <w:t>に基づく社会づくりに対する県民の理解を促進するため、理念や知識を普及するとともに、先進的な取組や魅力的なサービス等について情報発信します。</w:t>
      </w:r>
      <w:r>
        <w:rPr>
          <w:rFonts w:hint="eastAsia"/>
          <w:color w:val="000000" w:themeColor="text1"/>
          <w:spacing w:val="-4"/>
          <w:kern w:val="0"/>
          <w:sz w:val="16"/>
        </w:rPr>
        <w:t>[</w:t>
      </w:r>
      <w:r>
        <w:rPr>
          <w:rFonts w:hint="eastAsia"/>
          <w:color w:val="000000" w:themeColor="text1"/>
          <w:spacing w:val="-4"/>
          <w:kern w:val="0"/>
          <w:sz w:val="16"/>
        </w:rPr>
        <w:t>くらし</w:t>
      </w:r>
      <w:r>
        <w:rPr>
          <w:rFonts w:hint="eastAsia"/>
          <w:color w:val="000000" w:themeColor="text1"/>
          <w:kern w:val="0"/>
          <w:sz w:val="16"/>
        </w:rPr>
        <w:t>・</w:t>
      </w:r>
      <w:r>
        <w:rPr>
          <w:rFonts w:hint="eastAsia"/>
          <w:color w:val="000000" w:themeColor="text1"/>
          <w:spacing w:val="-4"/>
          <w:kern w:val="0"/>
          <w:sz w:val="16"/>
        </w:rPr>
        <w:t>環境部県民生活局</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spacing w:val="-4"/>
          <w:kern w:val="0"/>
          <w:sz w:val="16"/>
        </w:rPr>
      </w:pPr>
    </w:p>
    <w:p>
      <w:pPr>
        <w:pStyle w:val="0"/>
        <w:numPr>
          <w:ilvl w:val="0"/>
          <w:numId w:val="89"/>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kern w:val="0"/>
        </w:rPr>
        <w:t>車いす使用者用駐車施設の適正利用を図るため、障害のある人、高齢者、妊産婦等に利用証を交付する取組（「静岡県ゆずりあい駐車場制度」）の利用促進と周知を行います。</w:t>
      </w:r>
      <w:r>
        <w:rPr>
          <w:rFonts w:hint="eastAsia"/>
          <w:color w:val="000000" w:themeColor="text1"/>
          <w:spacing w:val="-4"/>
          <w:kern w:val="0"/>
          <w:sz w:val="16"/>
        </w:rPr>
        <w:t>[</w:t>
      </w:r>
      <w:r>
        <w:rPr>
          <w:rFonts w:hint="eastAsia"/>
          <w:color w:val="000000" w:themeColor="text1"/>
          <w:spacing w:val="-4"/>
          <w:kern w:val="0"/>
          <w:sz w:val="16"/>
        </w:rPr>
        <w:t>健康福祉部福祉長寿局</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spacing w:val="-4"/>
          <w:kern w:val="0"/>
          <w:sz w:val="16"/>
        </w:rPr>
      </w:pPr>
    </w:p>
    <w:p>
      <w:pPr>
        <w:pStyle w:val="0"/>
        <w:numPr>
          <w:ilvl w:val="0"/>
          <w:numId w:val="89"/>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kern w:val="0"/>
        </w:rPr>
        <w:t>地域の実情に応じた人にやさしいまちづくりに向けて、移動距離の少ない集約連携型都市づくりを進めます。</w:t>
      </w:r>
      <w:r>
        <w:rPr>
          <w:rFonts w:hint="eastAsia"/>
          <w:color w:val="000000" w:themeColor="text1"/>
          <w:sz w:val="16"/>
        </w:rPr>
        <w:t>[</w:t>
      </w:r>
      <w:r>
        <w:rPr>
          <w:rFonts w:hint="eastAsia"/>
          <w:color w:val="000000" w:themeColor="text1"/>
          <w:sz w:val="16"/>
        </w:rPr>
        <w:t>交通基盤部都市局</w:t>
      </w:r>
      <w:r>
        <w:rPr>
          <w:rFonts w:hint="eastAsia"/>
          <w:color w:val="000000" w:themeColor="text1"/>
          <w:sz w:val="16"/>
        </w:rPr>
        <w:t>]</w:t>
      </w:r>
    </w:p>
    <w:p>
      <w:pPr>
        <w:pStyle w:val="0"/>
        <w:autoSpaceDE w:val="0"/>
        <w:autoSpaceDN w:val="0"/>
        <w:adjustRightInd w:val="0"/>
        <w:spacing w:line="360" w:lineRule="exact"/>
        <w:ind w:left="868"/>
        <w:jc w:val="left"/>
        <w:rPr>
          <w:rFonts w:hint="default"/>
          <w:color w:val="000000" w:themeColor="text1"/>
          <w:spacing w:val="-4"/>
          <w:kern w:val="0"/>
          <w:sz w:val="16"/>
        </w:rPr>
      </w:pPr>
    </w:p>
    <w:p>
      <w:pPr>
        <w:pStyle w:val="0"/>
        <w:spacing w:line="360" w:lineRule="exact"/>
        <w:ind w:firstLine="240" w:firstLineChars="100"/>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イ　暮らしやすい</w:t>
      </w:r>
      <w:r>
        <w:rPr>
          <w:rFonts w:hint="eastAsia" w:ascii="ＭＳ ゴシック" w:hAnsi="ＭＳ ゴシック" w:eastAsia="ＭＳ ゴシック"/>
          <w:color w:val="000000" w:themeColor="text1"/>
          <w:kern w:val="16"/>
        </w:rPr>
        <w:t>まちづくりの推進</w:t>
      </w:r>
    </w:p>
    <w:p>
      <w:pPr>
        <w:pStyle w:val="0"/>
        <w:autoSpaceDE w:val="0"/>
        <w:autoSpaceDN w:val="0"/>
        <w:adjustRightInd w:val="0"/>
        <w:spacing w:line="360" w:lineRule="exact"/>
        <w:ind w:firstLine="240" w:firstLineChars="100"/>
        <w:jc w:val="left"/>
        <w:rPr>
          <w:rFonts w:hint="default"/>
          <w:color w:val="000000" w:themeColor="text1"/>
        </w:rPr>
      </w:pPr>
      <w:r>
        <w:rPr>
          <w:rFonts w:hint="eastAsia"/>
          <w:color w:val="000000" w:themeColor="text1"/>
        </w:rPr>
        <w:t>（ア）建築物等</w:t>
      </w:r>
    </w:p>
    <w:p>
      <w:pPr>
        <w:pStyle w:val="0"/>
        <w:numPr>
          <w:ilvl w:val="0"/>
          <w:numId w:val="90"/>
        </w:numPr>
        <w:autoSpaceDE w:val="0"/>
        <w:autoSpaceDN w:val="0"/>
        <w:adjustRightInd w:val="0"/>
        <w:spacing w:line="300" w:lineRule="exact"/>
        <w:jc w:val="left"/>
        <w:rPr>
          <w:rFonts w:hint="default"/>
          <w:color w:val="000000" w:themeColor="text1"/>
        </w:rPr>
      </w:pPr>
      <w:r>
        <w:rPr>
          <w:rFonts w:hint="eastAsia"/>
          <w:color w:val="000000" w:themeColor="text1"/>
          <w:kern w:val="0"/>
        </w:rPr>
        <w:t>県有施設の建設等に当たっては、障害のある人等も快適に利用できるよう、「ユニバーサルデザイン</w:t>
      </w:r>
      <w:r>
        <w:rPr>
          <w:rFonts w:hint="eastAsia"/>
          <w:spacing w:val="-4"/>
          <w:kern w:val="0"/>
          <w:vertAlign w:val="superscript"/>
        </w:rPr>
        <w:t>＊</w:t>
      </w:r>
      <w:r>
        <w:rPr>
          <w:rFonts w:hint="eastAsia"/>
          <w:color w:val="000000" w:themeColor="text1"/>
          <w:kern w:val="0"/>
        </w:rPr>
        <w:t>を活かした建築設計」に基づき、エレベーターの設置、段差の解消、多機能トイレの設置、分かりやすい案内誘導表示等の整備を行います。</w:t>
      </w:r>
      <w:r>
        <w:rPr>
          <w:rFonts w:hint="eastAsia"/>
          <w:color w:val="000000" w:themeColor="text1"/>
          <w:spacing w:val="-4"/>
          <w:kern w:val="0"/>
          <w:sz w:val="16"/>
        </w:rPr>
        <w:t>[</w:t>
      </w:r>
      <w:r>
        <w:rPr>
          <w:rFonts w:hint="eastAsia"/>
          <w:color w:val="000000" w:themeColor="text1"/>
          <w:spacing w:val="-4"/>
          <w:kern w:val="0"/>
          <w:sz w:val="16"/>
        </w:rPr>
        <w:t>交通基盤部建築管理局</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rPr>
      </w:pPr>
    </w:p>
    <w:p>
      <w:pPr>
        <w:pStyle w:val="0"/>
        <w:numPr>
          <w:ilvl w:val="0"/>
          <w:numId w:val="90"/>
        </w:numPr>
        <w:autoSpaceDE w:val="0"/>
        <w:autoSpaceDN w:val="0"/>
        <w:adjustRightInd w:val="0"/>
        <w:spacing w:line="360" w:lineRule="exact"/>
        <w:jc w:val="left"/>
        <w:rPr>
          <w:rFonts w:hint="default"/>
          <w:kern w:val="0"/>
        </w:rPr>
      </w:pPr>
      <w:r>
        <w:rPr>
          <w:rFonts w:hint="eastAsia"/>
          <w:kern w:val="0"/>
        </w:rPr>
        <w:t>観光施設や宿泊施設において、障害のある人等も利用しやすい多機能トイレの設置や観光案内看板の多言語化などのユニバーサルデザイン</w:t>
      </w:r>
      <w:r>
        <w:rPr>
          <w:rFonts w:hint="eastAsia"/>
          <w:spacing w:val="-4"/>
          <w:kern w:val="0"/>
          <w:vertAlign w:val="superscript"/>
        </w:rPr>
        <w:t>＊</w:t>
      </w:r>
      <w:r>
        <w:rPr>
          <w:rFonts w:hint="eastAsia"/>
          <w:kern w:val="0"/>
        </w:rPr>
        <w:t>化を進めるほか、ユニバーサルツーリズムについての理解促進を図るなど、障害のある人など誰もが安全・安心・快適に旅行できるような環境を創出します。</w:t>
      </w:r>
      <w:r>
        <w:rPr>
          <w:rFonts w:hint="eastAsia"/>
          <w:sz w:val="16"/>
        </w:rPr>
        <w:t>[</w:t>
      </w:r>
      <w:r>
        <w:rPr>
          <w:rFonts w:hint="eastAsia"/>
          <w:sz w:val="16"/>
        </w:rPr>
        <w:t>文化・観光部観光交流局</w:t>
      </w:r>
      <w:r>
        <w:rPr>
          <w:rFonts w:hint="eastAsia"/>
          <w:sz w:val="16"/>
        </w:rPr>
        <w:t>]</w:t>
      </w:r>
    </w:p>
    <w:p>
      <w:pPr>
        <w:pStyle w:val="0"/>
        <w:autoSpaceDE w:val="0"/>
        <w:autoSpaceDN w:val="0"/>
        <w:adjustRightInd w:val="0"/>
        <w:spacing w:line="360" w:lineRule="exact"/>
        <w:ind w:left="868"/>
        <w:jc w:val="left"/>
        <w:rPr>
          <w:rFonts w:hint="default"/>
          <w:kern w:val="0"/>
        </w:rPr>
      </w:pPr>
    </w:p>
    <w:p>
      <w:pPr>
        <w:pStyle w:val="0"/>
        <w:numPr>
          <w:ilvl w:val="0"/>
          <w:numId w:val="90"/>
        </w:numPr>
        <w:autoSpaceDE w:val="0"/>
        <w:autoSpaceDN w:val="0"/>
        <w:adjustRightInd w:val="0"/>
        <w:spacing w:line="360" w:lineRule="exact"/>
        <w:jc w:val="left"/>
        <w:rPr>
          <w:rFonts w:hint="default"/>
          <w:spacing w:val="-4"/>
          <w:kern w:val="0"/>
        </w:rPr>
      </w:pPr>
      <w:r>
        <w:rPr>
          <w:rFonts w:hint="eastAsia"/>
          <w:kern w:val="0"/>
        </w:rPr>
        <w:t>県立学校について、エレベーターの設置、分かりやすい案内誘導表示、トイレの改善、段差の解消などによって、誰もが利用しやすい施設の整備を進めます。また、市町立学校及び私立学校についても、誰もが快適に利用できる施設の整備を支援・促進します。</w:t>
      </w:r>
      <w:r>
        <w:rPr>
          <w:rFonts w:hint="eastAsia"/>
          <w:kern w:val="0"/>
          <w:sz w:val="16"/>
        </w:rPr>
        <w:t>[</w:t>
      </w:r>
      <w:r>
        <w:rPr>
          <w:rFonts w:hint="eastAsia"/>
          <w:spacing w:val="-4"/>
          <w:kern w:val="0"/>
          <w:sz w:val="16"/>
        </w:rPr>
        <w:t>文化・観光部総合教育局</w:t>
      </w:r>
      <w:r>
        <w:rPr>
          <w:rFonts w:hint="eastAsia"/>
          <w:kern w:val="0"/>
          <w:sz w:val="16"/>
        </w:rPr>
        <w:t>]</w:t>
      </w:r>
      <w:r>
        <w:rPr>
          <w:rFonts w:hint="eastAsia"/>
          <w:spacing w:val="-4"/>
          <w:kern w:val="0"/>
          <w:sz w:val="16"/>
        </w:rPr>
        <w:t>、</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autoSpaceDE w:val="0"/>
        <w:autoSpaceDN w:val="0"/>
        <w:adjustRightInd w:val="0"/>
        <w:spacing w:line="360" w:lineRule="exact"/>
        <w:ind w:firstLine="240" w:firstLineChars="100"/>
        <w:jc w:val="left"/>
        <w:rPr>
          <w:rFonts w:hint="default"/>
        </w:rPr>
      </w:pPr>
      <w:r>
        <w:rPr>
          <w:rFonts w:hint="eastAsia"/>
        </w:rPr>
        <w:t>（イ）公園・水辺空間</w:t>
      </w:r>
    </w:p>
    <w:p>
      <w:pPr>
        <w:pStyle w:val="0"/>
        <w:numPr>
          <w:ilvl w:val="0"/>
          <w:numId w:val="91"/>
        </w:numPr>
        <w:autoSpaceDE w:val="0"/>
        <w:autoSpaceDN w:val="0"/>
        <w:adjustRightInd w:val="0"/>
        <w:spacing w:line="360" w:lineRule="exact"/>
        <w:jc w:val="left"/>
        <w:rPr>
          <w:rFonts w:hint="default"/>
          <w:kern w:val="0"/>
        </w:rPr>
      </w:pPr>
      <w:r>
        <w:rPr>
          <w:rFonts w:hint="eastAsia"/>
          <w:kern w:val="0"/>
        </w:rPr>
        <w:t>県営都市公園について、施設の新設、改修の際には、誰もが快適に利用できるようユニバーサルデザイン</w:t>
      </w:r>
      <w:r>
        <w:rPr>
          <w:rFonts w:hint="eastAsia"/>
          <w:spacing w:val="-4"/>
          <w:kern w:val="0"/>
          <w:vertAlign w:val="superscript"/>
        </w:rPr>
        <w:t>＊</w:t>
      </w:r>
      <w:r>
        <w:rPr>
          <w:rFonts w:hint="eastAsia"/>
          <w:kern w:val="0"/>
        </w:rPr>
        <w:t>の導入やバリアフリー化に配慮した整備に努めます。また、市町が管理する公園や広場についても、市町に助成し、段差の解消、スロープ、多機能トイレの設置等の整備を促進します。</w:t>
      </w:r>
      <w:r>
        <w:rPr>
          <w:rFonts w:hint="eastAsia"/>
          <w:spacing w:val="-4"/>
          <w:kern w:val="0"/>
          <w:sz w:val="16"/>
        </w:rPr>
        <w:t>[</w:t>
      </w:r>
      <w:r>
        <w:rPr>
          <w:rFonts w:hint="eastAsia"/>
          <w:spacing w:val="-4"/>
          <w:kern w:val="0"/>
          <w:sz w:val="16"/>
        </w:rPr>
        <w:t>交通基盤部都市局</w:t>
      </w:r>
      <w:r>
        <w:rPr>
          <w:rFonts w:hint="eastAsia"/>
          <w:spacing w:val="-4"/>
          <w:kern w:val="0"/>
          <w:sz w:val="16"/>
        </w:rPr>
        <w:t>]</w:t>
      </w:r>
    </w:p>
    <w:p>
      <w:pPr>
        <w:pStyle w:val="0"/>
        <w:autoSpaceDE w:val="0"/>
        <w:autoSpaceDN w:val="0"/>
        <w:adjustRightInd w:val="0"/>
        <w:spacing w:line="360" w:lineRule="exact"/>
        <w:ind w:left="868"/>
        <w:jc w:val="left"/>
        <w:rPr>
          <w:rFonts w:hint="default"/>
          <w:kern w:val="0"/>
        </w:rPr>
      </w:pPr>
    </w:p>
    <w:p>
      <w:pPr>
        <w:pStyle w:val="0"/>
        <w:numPr>
          <w:ilvl w:val="0"/>
          <w:numId w:val="91"/>
        </w:numPr>
        <w:autoSpaceDE w:val="0"/>
        <w:autoSpaceDN w:val="0"/>
        <w:adjustRightInd w:val="0"/>
        <w:spacing w:line="360" w:lineRule="exact"/>
        <w:jc w:val="left"/>
        <w:rPr>
          <w:rFonts w:hint="default"/>
          <w:kern w:val="0"/>
        </w:rPr>
      </w:pPr>
      <w:r>
        <w:rPr>
          <w:rFonts w:hint="eastAsia"/>
          <w:color w:val="000000" w:themeColor="text1"/>
          <w:kern w:val="0"/>
        </w:rPr>
        <w:t>港湾</w:t>
      </w:r>
      <w:r>
        <w:rPr>
          <w:rFonts w:hint="eastAsia"/>
          <w:kern w:val="0"/>
        </w:rPr>
        <w:t>や海岸の空間を利用した遊歩道等において、誰もが快適に利用できるよう、歩きやすい歩道やスロープ等の整備を行います。</w:t>
      </w:r>
      <w:r>
        <w:rPr>
          <w:rFonts w:hint="eastAsia"/>
          <w:spacing w:val="-4"/>
          <w:kern w:val="0"/>
          <w:sz w:val="16"/>
        </w:rPr>
        <w:t>[</w:t>
      </w:r>
      <w:r>
        <w:rPr>
          <w:rFonts w:hint="eastAsia"/>
          <w:spacing w:val="-4"/>
          <w:kern w:val="0"/>
          <w:sz w:val="16"/>
        </w:rPr>
        <w:t>交通基盤部河川砂防局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pacing w:val="-4"/>
          <w:kern w:val="0"/>
          <w:sz w:val="16"/>
        </w:rPr>
        <w:t>交通基盤部港湾局</w:t>
      </w:r>
      <w:r>
        <w:rPr>
          <w:rFonts w:hint="eastAsia"/>
          <w:spacing w:val="-4"/>
          <w:kern w:val="0"/>
          <w:sz w:val="16"/>
        </w:rPr>
        <w:t>]</w:t>
      </w:r>
    </w:p>
    <w:p>
      <w:pPr>
        <w:pStyle w:val="0"/>
        <w:autoSpaceDE w:val="0"/>
        <w:autoSpaceDN w:val="0"/>
        <w:adjustRightInd w:val="0"/>
        <w:spacing w:line="360" w:lineRule="exact"/>
        <w:ind w:left="868"/>
        <w:jc w:val="left"/>
        <w:rPr>
          <w:rFonts w:hint="default"/>
          <w:kern w:val="0"/>
        </w:rPr>
      </w:pPr>
    </w:p>
    <w:p>
      <w:pPr>
        <w:pStyle w:val="0"/>
        <w:autoSpaceDE w:val="0"/>
        <w:autoSpaceDN w:val="0"/>
        <w:adjustRightInd w:val="0"/>
        <w:spacing w:line="360" w:lineRule="exact"/>
        <w:ind w:firstLine="240" w:firstLineChars="100"/>
        <w:jc w:val="left"/>
        <w:rPr>
          <w:rFonts w:hint="default"/>
        </w:rPr>
      </w:pPr>
      <w:r>
        <w:rPr>
          <w:rFonts w:hint="eastAsia"/>
        </w:rPr>
        <w:t>（ウ）道路・歩行空間</w:t>
      </w:r>
    </w:p>
    <w:p>
      <w:pPr>
        <w:pStyle w:val="0"/>
        <w:numPr>
          <w:ilvl w:val="0"/>
          <w:numId w:val="92"/>
        </w:numPr>
        <w:autoSpaceDE w:val="0"/>
        <w:autoSpaceDN w:val="0"/>
        <w:adjustRightInd w:val="0"/>
        <w:spacing w:line="360" w:lineRule="exact"/>
        <w:jc w:val="left"/>
        <w:rPr>
          <w:rFonts w:hint="default"/>
          <w:spacing w:val="-4"/>
          <w:kern w:val="0"/>
        </w:rPr>
      </w:pPr>
      <w:r>
        <w:rPr>
          <w:rFonts w:hint="eastAsia"/>
          <w:kern w:val="0"/>
        </w:rPr>
        <w:t>駅や商店街、学校、病院、福祉施設を相互に結ぶ生活の主要な経路、通学路等について、誰もが安全で快適に移動できるように幅の広い歩道の整備や歩道の段差・勾配の改善、無電柱化等の整備を行います。</w:t>
      </w:r>
      <w:r>
        <w:rPr>
          <w:rFonts w:hint="eastAsia"/>
          <w:spacing w:val="-4"/>
          <w:kern w:val="0"/>
          <w:sz w:val="16"/>
        </w:rPr>
        <w:t>[</w:t>
      </w:r>
      <w:r>
        <w:rPr>
          <w:rFonts w:hint="eastAsia"/>
          <w:spacing w:val="-4"/>
          <w:kern w:val="0"/>
          <w:sz w:val="16"/>
        </w:rPr>
        <w:t>交通基盤部道路局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92"/>
        </w:numPr>
        <w:autoSpaceDE w:val="0"/>
        <w:autoSpaceDN w:val="0"/>
        <w:adjustRightInd w:val="0"/>
        <w:spacing w:line="360" w:lineRule="exact"/>
        <w:jc w:val="left"/>
        <w:rPr>
          <w:rFonts w:hint="default"/>
          <w:kern w:val="0"/>
        </w:rPr>
      </w:pPr>
      <w:r>
        <w:rPr>
          <w:rFonts w:hint="eastAsia"/>
          <w:kern w:val="0"/>
        </w:rPr>
        <w:t>視覚障害者誘導用ブロックの敷設を積極的に推進します。</w:t>
      </w:r>
      <w:r>
        <w:rPr>
          <w:rFonts w:hint="eastAsia"/>
          <w:sz w:val="16"/>
        </w:rPr>
        <w:t>[</w:t>
      </w:r>
      <w:r>
        <w:rPr>
          <w:rFonts w:hint="eastAsia"/>
          <w:spacing w:val="-4"/>
          <w:kern w:val="0"/>
          <w:sz w:val="16"/>
        </w:rPr>
        <w:t>健康福祉部</w:t>
      </w:r>
      <w:r>
        <w:rPr>
          <w:rFonts w:hint="eastAsia"/>
          <w:sz w:val="16"/>
        </w:rPr>
        <w:t>障害者支援局</w:t>
      </w:r>
      <w:r>
        <w:rPr>
          <w:rFonts w:hint="eastAsia"/>
          <w:sz w:val="16"/>
        </w:rPr>
        <w:t>]</w:t>
      </w:r>
    </w:p>
    <w:p>
      <w:pPr>
        <w:pStyle w:val="0"/>
        <w:autoSpaceDE w:val="0"/>
        <w:autoSpaceDN w:val="0"/>
        <w:adjustRightInd w:val="0"/>
        <w:spacing w:line="360" w:lineRule="exact"/>
        <w:ind w:left="868"/>
        <w:jc w:val="left"/>
        <w:rPr>
          <w:rFonts w:hint="default"/>
          <w:kern w:val="0"/>
        </w:rPr>
      </w:pPr>
    </w:p>
    <w:p>
      <w:pPr>
        <w:pStyle w:val="0"/>
        <w:numPr>
          <w:ilvl w:val="0"/>
          <w:numId w:val="92"/>
        </w:numPr>
        <w:autoSpaceDE w:val="0"/>
        <w:autoSpaceDN w:val="0"/>
        <w:adjustRightInd w:val="0"/>
        <w:spacing w:line="360" w:lineRule="exact"/>
        <w:jc w:val="left"/>
        <w:rPr>
          <w:rFonts w:hint="default"/>
          <w:kern w:val="0"/>
        </w:rPr>
      </w:pPr>
      <w:r>
        <w:rPr>
          <w:rFonts w:hint="eastAsia"/>
          <w:kern w:val="0"/>
        </w:rPr>
        <w:t>公共交通機関への円滑な乗り換えのため、駅周辺の整備を行う市町を支援します。</w:t>
      </w:r>
      <w:r>
        <w:rPr>
          <w:rFonts w:hint="eastAsia"/>
          <w:spacing w:val="-4"/>
          <w:kern w:val="0"/>
          <w:sz w:val="16"/>
        </w:rPr>
        <w:t>[</w:t>
      </w:r>
      <w:r>
        <w:rPr>
          <w:rFonts w:hint="eastAsia"/>
          <w:spacing w:val="-4"/>
          <w:kern w:val="0"/>
          <w:sz w:val="16"/>
        </w:rPr>
        <w:t>交通基盤部都市局</w:t>
      </w:r>
      <w:r>
        <w:rPr>
          <w:rFonts w:hint="eastAsia"/>
          <w:spacing w:val="-4"/>
          <w:kern w:val="0"/>
          <w:sz w:val="16"/>
        </w:rPr>
        <w:t>]</w:t>
      </w:r>
    </w:p>
    <w:p>
      <w:pPr>
        <w:pStyle w:val="0"/>
        <w:autoSpaceDE w:val="0"/>
        <w:autoSpaceDN w:val="0"/>
        <w:adjustRightInd w:val="0"/>
        <w:spacing w:line="360" w:lineRule="exact"/>
        <w:ind w:left="868"/>
        <w:jc w:val="left"/>
        <w:rPr>
          <w:rFonts w:hint="default"/>
          <w:kern w:val="0"/>
        </w:rPr>
      </w:pPr>
    </w:p>
    <w:p>
      <w:pPr>
        <w:pStyle w:val="0"/>
        <w:numPr>
          <w:ilvl w:val="0"/>
          <w:numId w:val="92"/>
        </w:numPr>
        <w:autoSpaceDE w:val="0"/>
        <w:autoSpaceDN w:val="0"/>
        <w:adjustRightInd w:val="0"/>
        <w:spacing w:line="360" w:lineRule="exact"/>
        <w:jc w:val="left"/>
        <w:rPr>
          <w:rFonts w:hint="default"/>
        </w:rPr>
      </w:pPr>
      <w:r>
        <w:rPr>
          <w:rFonts w:hint="eastAsia"/>
          <w:kern w:val="0"/>
        </w:rPr>
        <w:t>地域住民等との対話型行政を積極的に進め、利用者の意見を取り入れた道路整備を行います。</w:t>
      </w:r>
      <w:r>
        <w:rPr>
          <w:rFonts w:hint="eastAsia"/>
          <w:spacing w:val="-4"/>
          <w:kern w:val="0"/>
          <w:sz w:val="16"/>
        </w:rPr>
        <w:t>[</w:t>
      </w:r>
      <w:r>
        <w:rPr>
          <w:rFonts w:hint="eastAsia"/>
          <w:spacing w:val="-4"/>
          <w:kern w:val="0"/>
          <w:sz w:val="16"/>
        </w:rPr>
        <w:t>交通基盤部道路局</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numPr>
          <w:ilvl w:val="0"/>
          <w:numId w:val="92"/>
        </w:numPr>
        <w:autoSpaceDE w:val="0"/>
        <w:autoSpaceDN w:val="0"/>
        <w:adjustRightInd w:val="0"/>
        <w:spacing w:line="360" w:lineRule="exact"/>
        <w:jc w:val="left"/>
        <w:rPr>
          <w:rFonts w:hint="default"/>
          <w:kern w:val="0"/>
        </w:rPr>
      </w:pPr>
      <w:r>
        <w:rPr>
          <w:rFonts w:hint="eastAsia"/>
          <w:kern w:val="0"/>
        </w:rPr>
        <w:t>土地区画整理事業により整備する公共施設について、ユニバーサルデザイン</w:t>
      </w:r>
      <w:r>
        <w:rPr>
          <w:rFonts w:hint="eastAsia"/>
          <w:spacing w:val="-4"/>
          <w:kern w:val="0"/>
          <w:vertAlign w:val="superscript"/>
        </w:rPr>
        <w:t>＊</w:t>
      </w:r>
      <w:r>
        <w:rPr>
          <w:rFonts w:hint="eastAsia"/>
          <w:kern w:val="0"/>
        </w:rPr>
        <w:t>に配慮するように市町・土地区画整理組合等に対して助言及び啓発を行います。</w:t>
      </w:r>
      <w:r>
        <w:rPr>
          <w:rFonts w:hint="eastAsia"/>
          <w:spacing w:val="-4"/>
          <w:kern w:val="0"/>
          <w:sz w:val="16"/>
        </w:rPr>
        <w:t>[</w:t>
      </w:r>
      <w:r>
        <w:rPr>
          <w:rFonts w:hint="eastAsia"/>
          <w:spacing w:val="-4"/>
          <w:kern w:val="0"/>
          <w:sz w:val="16"/>
        </w:rPr>
        <w:t>交通基盤部都市局</w:t>
      </w:r>
      <w:r>
        <w:rPr>
          <w:rFonts w:hint="eastAsia"/>
          <w:spacing w:val="-4"/>
          <w:kern w:val="0"/>
          <w:sz w:val="16"/>
        </w:rPr>
        <w:t>]</w:t>
      </w:r>
    </w:p>
    <w:p>
      <w:pPr>
        <w:pStyle w:val="0"/>
        <w:autoSpaceDE w:val="0"/>
        <w:autoSpaceDN w:val="0"/>
        <w:adjustRightInd w:val="0"/>
        <w:spacing w:line="360" w:lineRule="exact"/>
        <w:ind w:left="868"/>
        <w:jc w:val="left"/>
        <w:rPr>
          <w:rFonts w:hint="default"/>
          <w:kern w:val="0"/>
        </w:rPr>
      </w:pPr>
    </w:p>
    <w:p>
      <w:pPr>
        <w:pStyle w:val="0"/>
        <w:numPr>
          <w:ilvl w:val="0"/>
          <w:numId w:val="92"/>
        </w:numPr>
        <w:autoSpaceDE w:val="0"/>
        <w:autoSpaceDN w:val="0"/>
        <w:adjustRightInd w:val="0"/>
        <w:spacing w:line="360" w:lineRule="exact"/>
        <w:jc w:val="left"/>
        <w:rPr>
          <w:rFonts w:hint="default"/>
        </w:rPr>
      </w:pPr>
      <w:r>
        <w:rPr>
          <w:rFonts w:hint="eastAsia"/>
          <w:kern w:val="0"/>
        </w:rPr>
        <w:t>障害のある人や高齢者等の移動の利便性・安全性の向上を促進するため、バリアフリー対応型信号機</w:t>
      </w:r>
      <w:r>
        <w:rPr>
          <w:rFonts w:hint="eastAsia"/>
          <w:color w:val="000000" w:themeColor="text1"/>
          <w:kern w:val="0"/>
        </w:rPr>
        <w:t>等</w:t>
      </w:r>
      <w:r>
        <w:rPr>
          <w:rFonts w:hint="eastAsia"/>
          <w:color w:val="000000" w:themeColor="text1"/>
          <w:spacing w:val="-4"/>
          <w:kern w:val="0"/>
          <w:vertAlign w:val="superscript"/>
        </w:rPr>
        <w:t>＊</w:t>
      </w:r>
      <w:r>
        <w:rPr>
          <w:rFonts w:hint="eastAsia"/>
          <w:kern w:val="0"/>
        </w:rPr>
        <w:t>の整備を推進します。</w:t>
      </w:r>
      <w:r>
        <w:rPr>
          <w:rFonts w:hint="eastAsia"/>
          <w:spacing w:val="-4"/>
          <w:kern w:val="0"/>
          <w:sz w:val="16"/>
        </w:rPr>
        <w:t>[</w:t>
      </w:r>
      <w:r>
        <w:rPr>
          <w:rFonts w:hint="eastAsia"/>
          <w:spacing w:val="-4"/>
          <w:kern w:val="0"/>
          <w:sz w:val="16"/>
        </w:rPr>
        <w:t>警察本部</w:t>
      </w:r>
      <w:r>
        <w:rPr>
          <w:rFonts w:hint="eastAsia"/>
          <w:spacing w:val="-4"/>
          <w:kern w:val="0"/>
          <w:sz w:val="16"/>
        </w:rPr>
        <w:t>]</w:t>
      </w:r>
    </w:p>
    <w:p>
      <w:pPr>
        <w:pStyle w:val="0"/>
        <w:autoSpaceDE w:val="0"/>
        <w:autoSpaceDN w:val="0"/>
        <w:adjustRightInd w:val="0"/>
        <w:spacing w:line="360" w:lineRule="exact"/>
        <w:jc w:val="left"/>
        <w:rPr>
          <w:rFonts w:hint="default"/>
        </w:rPr>
      </w:pPr>
      <w:r>
        <w:rPr>
          <w:rFonts w:hint="eastAsia"/>
        </w:rPr>
        <w:t>　</w:t>
      </w:r>
    </w:p>
    <w:p>
      <w:pPr>
        <w:pStyle w:val="0"/>
        <w:autoSpaceDE w:val="0"/>
        <w:autoSpaceDN w:val="0"/>
        <w:adjustRightInd w:val="0"/>
        <w:spacing w:line="360" w:lineRule="exact"/>
        <w:ind w:firstLine="240" w:firstLineChars="100"/>
        <w:jc w:val="left"/>
        <w:rPr>
          <w:rFonts w:hint="default"/>
        </w:rPr>
      </w:pPr>
      <w:bookmarkStart w:id="125" w:name="_GoBack"/>
      <w:bookmarkEnd w:id="125"/>
      <w:r>
        <w:rPr>
          <w:rFonts w:hint="eastAsia"/>
        </w:rPr>
        <w:t>（エ）交通機関等</w:t>
      </w:r>
    </w:p>
    <w:p>
      <w:pPr>
        <w:pStyle w:val="0"/>
        <w:numPr>
          <w:ilvl w:val="0"/>
          <w:numId w:val="93"/>
        </w:numPr>
        <w:autoSpaceDE w:val="0"/>
        <w:autoSpaceDN w:val="0"/>
        <w:adjustRightInd w:val="0"/>
        <w:spacing w:line="360" w:lineRule="exact"/>
        <w:jc w:val="left"/>
        <w:rPr>
          <w:rFonts w:hint="default"/>
          <w:spacing w:val="-4"/>
          <w:kern w:val="0"/>
        </w:rPr>
      </w:pPr>
      <w:r>
        <w:rPr>
          <w:rFonts w:hint="eastAsia"/>
          <w:kern w:val="0"/>
        </w:rPr>
        <w:t>障害のある人等の移動手段を確保するため、鉄道駅におけるスロープ・障害者対応型エレベーター・点字案内板等の設置や、超低床バス（ノンステップバス）</w:t>
      </w:r>
      <w:r>
        <w:rPr>
          <w:rFonts w:hint="eastAsia"/>
          <w:spacing w:val="-4"/>
          <w:kern w:val="0"/>
          <w:vertAlign w:val="superscript"/>
        </w:rPr>
        <w:t>＊</w:t>
      </w:r>
      <w:r>
        <w:rPr>
          <w:rFonts w:hint="eastAsia"/>
          <w:kern w:val="0"/>
        </w:rPr>
        <w:t>等の導入など、ユニバーサルデザイン</w:t>
      </w:r>
      <w:r>
        <w:rPr>
          <w:rFonts w:hint="eastAsia"/>
          <w:spacing w:val="-4"/>
          <w:kern w:val="0"/>
          <w:vertAlign w:val="superscript"/>
        </w:rPr>
        <w:t>＊</w:t>
      </w:r>
      <w:r>
        <w:rPr>
          <w:rFonts w:hint="eastAsia"/>
          <w:kern w:val="0"/>
        </w:rPr>
        <w:t>に配慮した施設や設備等の整備がされるように、交通事業者に対し支援及び働きかけを行います。</w:t>
      </w:r>
      <w:r>
        <w:rPr>
          <w:rFonts w:hint="eastAsia"/>
          <w:spacing w:val="-4"/>
          <w:kern w:val="0"/>
          <w:sz w:val="16"/>
        </w:rPr>
        <w:t>[</w:t>
      </w:r>
      <w:r>
        <w:rPr>
          <w:rFonts w:hint="eastAsia"/>
          <w:spacing w:val="-4"/>
          <w:kern w:val="0"/>
          <w:sz w:val="16"/>
        </w:rPr>
        <w:t>交通基盤部都市局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93"/>
        </w:numPr>
        <w:autoSpaceDE w:val="0"/>
        <w:autoSpaceDN w:val="0"/>
        <w:adjustRightInd w:val="0"/>
        <w:spacing w:line="360" w:lineRule="exact"/>
        <w:jc w:val="left"/>
        <w:rPr>
          <w:rFonts w:hint="default"/>
          <w:kern w:val="0"/>
        </w:rPr>
      </w:pPr>
      <w:r>
        <w:rPr>
          <w:rFonts w:hint="eastAsia"/>
          <w:color w:val="000000" w:themeColor="text1"/>
          <w:kern w:val="0"/>
        </w:rPr>
        <w:t>地域の実情に応じた利便性の高い生活交通の確保に向け、公共交通としての路線バスの維持や新たな生活交通手段の導入を図るため、市町や交通事業者を支援します。</w:t>
      </w:r>
      <w:r>
        <w:rPr>
          <w:rFonts w:hint="eastAsia"/>
          <w:spacing w:val="-4"/>
          <w:kern w:val="0"/>
          <w:sz w:val="16"/>
        </w:rPr>
        <w:t>[</w:t>
      </w:r>
      <w:r>
        <w:rPr>
          <w:rFonts w:hint="eastAsia"/>
          <w:spacing w:val="-4"/>
          <w:kern w:val="0"/>
          <w:sz w:val="16"/>
        </w:rPr>
        <w:t>交通基盤部都市局</w:t>
      </w:r>
      <w:r>
        <w:rPr>
          <w:rFonts w:hint="eastAsia"/>
          <w:spacing w:val="-4"/>
          <w:kern w:val="0"/>
          <w:sz w:val="16"/>
        </w:rPr>
        <w:t>]</w:t>
      </w:r>
    </w:p>
    <w:p>
      <w:pPr>
        <w:pStyle w:val="0"/>
        <w:autoSpaceDE w:val="0"/>
        <w:autoSpaceDN w:val="0"/>
        <w:adjustRightInd w:val="0"/>
        <w:spacing w:line="360" w:lineRule="exact"/>
        <w:ind w:left="868"/>
        <w:jc w:val="left"/>
        <w:rPr>
          <w:rFonts w:hint="default"/>
          <w:kern w:val="0"/>
        </w:rPr>
      </w:pPr>
    </w:p>
    <w:p>
      <w:pPr>
        <w:pStyle w:val="0"/>
        <w:rPr>
          <w:rFonts w:hint="default"/>
        </w:rPr>
      </w:pPr>
      <w:r>
        <w:rPr>
          <w:rFonts w:hint="eastAsia" w:ascii="ＭＳ ゴシック" w:hAnsi="ＭＳ ゴシック" w:eastAsia="ＭＳ ゴシック"/>
        </w:rPr>
        <w:t>【数値目標】</w:t>
      </w:r>
    </w:p>
    <w:tbl>
      <w:tblPr>
        <w:tblStyle w:val="11"/>
        <w:tblW w:w="9552"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2"/>
        <w:gridCol w:w="4812"/>
        <w:gridCol w:w="2164"/>
        <w:gridCol w:w="2164"/>
      </w:tblGrid>
      <w:tr>
        <w:trPr>
          <w:trHeight w:val="204"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264"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22"/>
              <w:jc w:val="center"/>
              <w:rPr>
                <w:rFonts w:hint="default"/>
                <w:spacing w:val="-4"/>
              </w:rPr>
            </w:pPr>
            <w:r>
              <w:rPr>
                <w:rFonts w:hint="eastAsia"/>
                <w:spacing w:val="-4"/>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22"/>
              <w:rPr>
                <w:rFonts w:hint="default"/>
                <w:color w:val="000000" w:themeColor="text1"/>
                <w:spacing w:val="-4"/>
              </w:rPr>
            </w:pPr>
            <w:r>
              <w:rPr>
                <w:rFonts w:hint="eastAsia"/>
                <w:color w:val="000000" w:themeColor="text1"/>
              </w:rPr>
              <w:t>自分の住んでいる街が、安心して暮らせるところだと思っている障害のある人の割合</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68.4</w:t>
            </w:r>
            <w:r>
              <w:rPr>
                <w:rFonts w:hint="eastAsia"/>
                <w:color w:val="000000" w:themeColor="text1"/>
              </w:rPr>
              <w:t>％</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2024</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70.0</w:t>
            </w:r>
            <w:r>
              <w:rPr>
                <w:rFonts w:hint="eastAsia"/>
                <w:color w:val="000000" w:themeColor="text1"/>
              </w:rPr>
              <w:t>％</w:t>
            </w:r>
          </w:p>
        </w:tc>
      </w:tr>
      <w:tr>
        <w:trPr>
          <w:trHeight w:val="58"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22"/>
              <w:jc w:val="center"/>
              <w:rPr>
                <w:rFonts w:hint="default"/>
              </w:rPr>
            </w:pPr>
            <w:r>
              <w:rPr>
                <w:rFonts w:hint="eastAsia"/>
              </w:rPr>
              <w:t>２</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22"/>
              <w:rPr>
                <w:rFonts w:hint="default"/>
                <w:dstrike w:val="1"/>
                <w:color w:val="000000" w:themeColor="text1"/>
                <w:kern w:val="0"/>
              </w:rPr>
            </w:pPr>
            <w:r>
              <w:rPr>
                <w:rFonts w:hint="eastAsia"/>
                <w:color w:val="000000" w:themeColor="text1"/>
                <w:kern w:val="0"/>
              </w:rPr>
              <w:t>通学路合同点検に基づく交通安全対策実施率（箇所数）</w:t>
            </w:r>
          </w:p>
        </w:tc>
        <w:tc>
          <w:tcPr>
            <w:tcW w:w="21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77.2</w:t>
            </w:r>
            <w:r>
              <w:rPr>
                <w:rFonts w:hint="eastAsia"/>
                <w:color w:val="000000" w:themeColor="text1"/>
              </w:rPr>
              <w:t>％</w:t>
            </w:r>
          </w:p>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265</w:t>
            </w:r>
            <w:r>
              <w:rPr>
                <w:rFonts w:hint="eastAsia"/>
                <w:color w:val="000000" w:themeColor="text1"/>
              </w:rPr>
              <w:t>箇所）</w:t>
            </w:r>
          </w:p>
        </w:tc>
        <w:tc>
          <w:tcPr>
            <w:tcW w:w="21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2025</w:t>
            </w:r>
            <w:r>
              <w:rPr>
                <w:rFonts w:hint="eastAsia"/>
                <w:color w:val="000000" w:themeColor="text1"/>
              </w:rPr>
              <w:t>年度）</w:t>
            </w:r>
          </w:p>
          <w:p>
            <w:pPr>
              <w:pStyle w:val="0"/>
              <w:spacing w:line="360" w:lineRule="exact"/>
              <w:jc w:val="center"/>
              <w:rPr>
                <w:rFonts w:hint="default"/>
                <w:color w:val="auto"/>
              </w:rPr>
            </w:pPr>
            <w:r>
              <w:rPr>
                <w:rFonts w:hint="eastAsia"/>
                <w:color w:val="auto"/>
              </w:rPr>
              <w:t>100.0</w:t>
            </w:r>
            <w:r>
              <w:rPr>
                <w:rFonts w:hint="eastAsia"/>
                <w:color w:val="auto"/>
              </w:rPr>
              <w:t>％</w:t>
            </w:r>
          </w:p>
          <w:p>
            <w:pPr>
              <w:pStyle w:val="0"/>
              <w:spacing w:line="360" w:lineRule="exact"/>
              <w:jc w:val="center"/>
              <w:rPr>
                <w:rFonts w:hint="default"/>
                <w:color w:val="000000" w:themeColor="text1"/>
              </w:rPr>
            </w:pPr>
            <w:r>
              <w:rPr>
                <w:rFonts w:hint="eastAsia"/>
                <w:color w:val="auto"/>
              </w:rPr>
              <w:t>（</w:t>
            </w:r>
            <w:r>
              <w:rPr>
                <w:rFonts w:hint="eastAsia"/>
                <w:color w:val="auto"/>
              </w:rPr>
              <w:t>343</w:t>
            </w:r>
            <w:r>
              <w:rPr>
                <w:rFonts w:hint="eastAsia"/>
                <w:color w:val="auto"/>
              </w:rPr>
              <w:t>箇所</w:t>
            </w:r>
            <w:r>
              <w:rPr>
                <w:rFonts w:hint="eastAsia"/>
                <w:color w:val="000000" w:themeColor="text1"/>
              </w:rPr>
              <w:t>）</w:t>
            </w:r>
          </w:p>
        </w:tc>
      </w:tr>
      <w:tr>
        <w:trPr>
          <w:trHeight w:val="673"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22"/>
              <w:jc w:val="center"/>
              <w:rPr>
                <w:rFonts w:hint="default"/>
                <w:kern w:val="0"/>
              </w:rPr>
            </w:pPr>
            <w:r>
              <w:rPr>
                <w:rFonts w:hint="eastAsia"/>
                <w:kern w:val="0"/>
              </w:rPr>
              <w:t>３</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22"/>
              <w:rPr>
                <w:rFonts w:hint="default"/>
                <w:color w:val="000000" w:themeColor="text1"/>
                <w:kern w:val="0"/>
              </w:rPr>
            </w:pPr>
            <w:r>
              <w:rPr>
                <w:rFonts w:hint="eastAsia"/>
                <w:color w:val="000000" w:themeColor="text1"/>
              </w:rPr>
              <w:t>乗降客</w:t>
            </w:r>
            <w:r>
              <w:rPr>
                <w:rFonts w:hint="eastAsia"/>
                <w:color w:val="000000" w:themeColor="text1"/>
              </w:rPr>
              <w:t>2,000</w:t>
            </w:r>
            <w:r>
              <w:rPr>
                <w:rFonts w:hint="eastAsia"/>
                <w:color w:val="000000" w:themeColor="text1"/>
              </w:rPr>
              <w:t>人／日以上の駅のユニバーサルデザイン化</w:t>
            </w:r>
            <w:r>
              <w:rPr>
                <w:rFonts w:hint="eastAsia"/>
                <w:spacing w:val="-4"/>
                <w:kern w:val="0"/>
                <w:vertAlign w:val="superscript"/>
              </w:rPr>
              <w:t>＊</w:t>
            </w:r>
            <w:r>
              <w:rPr>
                <w:rFonts w:hint="eastAsia"/>
                <w:color w:val="000000" w:themeColor="text1"/>
              </w:rPr>
              <w:t>の割合</w:t>
            </w:r>
            <w:r>
              <w:rPr>
                <w:rFonts w:hint="eastAsia"/>
                <w:color w:val="000000" w:themeColor="text1"/>
                <w:w w:val="90"/>
              </w:rPr>
              <w:t>（身体障害者対応型エレベーターやスロープ等の設置による段差の解消等、駅施設のバリアフリー化の整備率）</w:t>
            </w:r>
          </w:p>
        </w:tc>
        <w:tc>
          <w:tcPr>
            <w:tcW w:w="21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2020</w:t>
            </w:r>
            <w:r>
              <w:rPr>
                <w:rFonts w:hint="eastAsia"/>
              </w:rPr>
              <w:t>年度）</w:t>
            </w:r>
          </w:p>
          <w:p>
            <w:pPr>
              <w:pStyle w:val="0"/>
              <w:spacing w:line="360" w:lineRule="exact"/>
              <w:jc w:val="center"/>
              <w:rPr>
                <w:rFonts w:hint="default"/>
              </w:rPr>
            </w:pPr>
            <w:r>
              <w:rPr>
                <w:rFonts w:hint="eastAsia"/>
              </w:rPr>
              <w:t>86.2</w:t>
            </w:r>
            <w:r>
              <w:rPr>
                <w:rFonts w:hint="eastAsia"/>
              </w:rPr>
              <w:t>％</w:t>
            </w:r>
          </w:p>
        </w:tc>
        <w:tc>
          <w:tcPr>
            <w:tcW w:w="21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360" w:lineRule="exact"/>
              <w:jc w:val="center"/>
              <w:rPr>
                <w:rFonts w:hint="default"/>
              </w:rPr>
            </w:pPr>
            <w:r>
              <w:rPr>
                <w:rFonts w:hint="eastAsia"/>
              </w:rPr>
              <w:t>（</w:t>
            </w:r>
            <w:r>
              <w:rPr>
                <w:rFonts w:hint="eastAsia"/>
              </w:rPr>
              <w:t>2025</w:t>
            </w:r>
            <w:r>
              <w:rPr>
                <w:rFonts w:hint="eastAsia"/>
              </w:rPr>
              <w:t>年度）</w:t>
            </w:r>
          </w:p>
          <w:p>
            <w:pPr>
              <w:pStyle w:val="0"/>
              <w:spacing w:line="360" w:lineRule="exact"/>
              <w:jc w:val="center"/>
              <w:rPr>
                <w:rFonts w:hint="default"/>
              </w:rPr>
            </w:pPr>
            <w:r>
              <w:rPr>
                <w:rFonts w:hint="eastAsia"/>
              </w:rPr>
              <w:t>100.0</w:t>
            </w:r>
            <w:r>
              <w:rPr>
                <w:rFonts w:hint="eastAsia"/>
              </w:rPr>
              <w:t>％</w:t>
            </w:r>
          </w:p>
        </w:tc>
      </w:tr>
    </w:tbl>
    <w:p>
      <w:pPr>
        <w:pStyle w:val="0"/>
        <w:rPr>
          <w:rFonts w:hint="default" w:ascii="ＭＳ ゴシック" w:hAnsi="ＭＳ ゴシック" w:eastAsia="ＭＳ ゴシック"/>
          <w:b w:val="1"/>
        </w:rPr>
      </w:pPr>
    </w:p>
    <w:p>
      <w:pPr>
        <w:pStyle w:val="0"/>
        <w:outlineLvl w:val="2"/>
        <w:rPr>
          <w:rFonts w:hint="default" w:ascii="ＭＳ ゴシック" w:hAnsi="ＭＳ ゴシック" w:eastAsia="ＭＳ ゴシック"/>
        </w:rPr>
      </w:pPr>
      <w:bookmarkStart w:id="126" w:name="_Toc503474088"/>
      <w:r>
        <w:rPr>
          <w:rFonts w:hint="eastAsia" w:ascii="ＭＳ ゴシック" w:hAnsi="ＭＳ ゴシック" w:eastAsia="ＭＳ ゴシック"/>
        </w:rPr>
        <w:t>（２）誰もが住みやすい住宅整備の促進</w:t>
      </w:r>
      <w:bookmarkEnd w:id="126"/>
    </w:p>
    <w:p>
      <w:pPr>
        <w:pStyle w:val="0"/>
        <w:rPr>
          <w:rFonts w:hint="default"/>
        </w:rPr>
      </w:pPr>
      <w:r>
        <w:rPr>
          <w:rFonts w:hint="eastAsia" w:ascii="ＭＳ ゴシック" w:hAnsi="ＭＳ ゴシック" w:eastAsia="ＭＳ ゴシック"/>
        </w:rPr>
        <w:t>【現状と課題】</w:t>
      </w:r>
    </w:p>
    <w:p>
      <w:pPr>
        <w:pStyle w:val="0"/>
        <w:numPr>
          <w:ilvl w:val="0"/>
          <w:numId w:val="94"/>
        </w:numPr>
        <w:autoSpaceDE w:val="0"/>
        <w:autoSpaceDN w:val="0"/>
        <w:adjustRightInd w:val="0"/>
        <w:spacing w:line="360" w:lineRule="exact"/>
        <w:jc w:val="left"/>
        <w:rPr>
          <w:rFonts w:hint="default"/>
        </w:rPr>
      </w:pPr>
      <w:r>
        <w:rPr>
          <w:rFonts w:hint="eastAsia"/>
          <w:kern w:val="0"/>
        </w:rPr>
        <w:t>「障害のある方の実態調査」（</w:t>
      </w:r>
      <w:r>
        <w:rPr>
          <w:rFonts w:hint="eastAsia"/>
          <w:kern w:val="0"/>
        </w:rPr>
        <w:t>2020</w:t>
      </w:r>
      <w:r>
        <w:rPr>
          <w:rFonts w:hint="eastAsia"/>
          <w:kern w:val="0"/>
        </w:rPr>
        <w:t>年度）によると、「持ち家」に暮らしている人が</w:t>
      </w:r>
      <w:r>
        <w:rPr>
          <w:rFonts w:hint="eastAsia"/>
          <w:color w:val="000000" w:themeColor="text1"/>
          <w:kern w:val="0"/>
        </w:rPr>
        <w:t>61.2</w:t>
      </w:r>
      <w:r>
        <w:rPr>
          <w:rFonts w:hint="eastAsia"/>
          <w:color w:val="000000" w:themeColor="text1"/>
          <w:kern w:val="0"/>
        </w:rPr>
        <w:t>％、「民間賃貸住宅」が</w:t>
      </w:r>
      <w:r>
        <w:rPr>
          <w:rFonts w:hint="eastAsia"/>
          <w:color w:val="000000" w:themeColor="text1"/>
          <w:kern w:val="0"/>
        </w:rPr>
        <w:t>15.4</w:t>
      </w:r>
      <w:r>
        <w:rPr>
          <w:rFonts w:hint="eastAsia"/>
          <w:color w:val="000000" w:themeColor="text1"/>
          <w:kern w:val="0"/>
        </w:rPr>
        <w:t>％、「公共賃貸住宅（市町営・県営・公団など）」が</w:t>
      </w:r>
      <w:r>
        <w:rPr>
          <w:rFonts w:hint="eastAsia"/>
          <w:color w:val="000000" w:themeColor="text1"/>
          <w:kern w:val="0"/>
        </w:rPr>
        <w:t>3.1</w:t>
      </w:r>
      <w:r>
        <w:rPr>
          <w:rFonts w:hint="eastAsia"/>
          <w:color w:val="000000" w:themeColor="text1"/>
          <w:kern w:val="0"/>
        </w:rPr>
        <w:t>％</w:t>
      </w:r>
      <w:r>
        <w:rPr>
          <w:rFonts w:hint="eastAsia"/>
          <w:kern w:val="0"/>
        </w:rPr>
        <w:t>となっています。また、現在の悩み事として、</w:t>
      </w:r>
      <w:r>
        <w:rPr>
          <w:rFonts w:hint="eastAsia"/>
          <w:color w:val="000000" w:themeColor="text1"/>
          <w:kern w:val="0"/>
        </w:rPr>
        <w:t>3.5</w:t>
      </w:r>
      <w:r>
        <w:rPr>
          <w:rFonts w:hint="eastAsia"/>
          <w:color w:val="000000" w:themeColor="text1"/>
          <w:kern w:val="0"/>
        </w:rPr>
        <w:t>％</w:t>
      </w:r>
      <w:r>
        <w:rPr>
          <w:rFonts w:hint="eastAsia"/>
          <w:kern w:val="0"/>
        </w:rPr>
        <w:t>の人が「住まいの確保」を挙げています。</w:t>
      </w:r>
    </w:p>
    <w:p>
      <w:pPr>
        <w:pStyle w:val="0"/>
        <w:autoSpaceDE w:val="0"/>
        <w:autoSpaceDN w:val="0"/>
        <w:adjustRightInd w:val="0"/>
        <w:spacing w:line="360" w:lineRule="exact"/>
        <w:ind w:left="576"/>
        <w:jc w:val="left"/>
        <w:rPr>
          <w:rFonts w:hint="default"/>
        </w:rPr>
      </w:pPr>
    </w:p>
    <w:p>
      <w:pPr>
        <w:pStyle w:val="0"/>
        <w:numPr>
          <w:ilvl w:val="0"/>
          <w:numId w:val="95"/>
        </w:numPr>
        <w:autoSpaceDE w:val="0"/>
        <w:autoSpaceDN w:val="0"/>
        <w:adjustRightInd w:val="0"/>
        <w:spacing w:line="360" w:lineRule="exact"/>
        <w:jc w:val="left"/>
        <w:rPr>
          <w:rFonts w:hint="default"/>
        </w:rPr>
      </w:pPr>
      <w:r>
        <w:rPr>
          <w:rFonts w:hint="eastAsia"/>
          <w:kern w:val="0"/>
        </w:rPr>
        <w:t>障害のある人の地域生活を支えるためには、住宅のユニバーサルデザイン</w:t>
      </w:r>
      <w:r>
        <w:rPr>
          <w:rFonts w:hint="eastAsia"/>
          <w:spacing w:val="-4"/>
          <w:kern w:val="0"/>
          <w:vertAlign w:val="superscript"/>
        </w:rPr>
        <w:t>＊</w:t>
      </w:r>
      <w:r>
        <w:rPr>
          <w:rFonts w:hint="eastAsia"/>
          <w:kern w:val="0"/>
        </w:rPr>
        <w:t>化を進め、安定した生活の場が確保できるように支援していく必要があります。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numPr>
          <w:ilvl w:val="0"/>
          <w:numId w:val="96"/>
        </w:numPr>
        <w:autoSpaceDE w:val="0"/>
        <w:autoSpaceDN w:val="0"/>
        <w:adjustRightInd w:val="0"/>
        <w:spacing w:line="360" w:lineRule="exact"/>
        <w:jc w:val="left"/>
        <w:rPr>
          <w:rFonts w:hint="default"/>
          <w:kern w:val="0"/>
        </w:rPr>
      </w:pPr>
      <w:r>
        <w:rPr>
          <w:rFonts w:hint="eastAsia"/>
          <w:kern w:val="0"/>
        </w:rPr>
        <w:t>住まい関連イベントにおいて、障害のある人や高齢者が安心して安全に、快適に暮らすことができる質の高い住宅の普及と浸透を図ります。</w:t>
      </w:r>
      <w:r>
        <w:rPr>
          <w:rFonts w:hint="eastAsia"/>
          <w:spacing w:val="-4"/>
          <w:sz w:val="16"/>
        </w:rPr>
        <w:t>[</w:t>
      </w:r>
      <w:r>
        <w:rPr>
          <w:rFonts w:hint="eastAsia"/>
          <w:spacing w:val="-4"/>
          <w:sz w:val="16"/>
        </w:rPr>
        <w:t>くらし</w:t>
      </w:r>
      <w:r>
        <w:rPr>
          <w:rFonts w:hint="eastAsia"/>
          <w:sz w:val="16"/>
        </w:rPr>
        <w:t>・</w:t>
      </w:r>
      <w:r>
        <w:rPr>
          <w:rFonts w:hint="eastAsia"/>
          <w:spacing w:val="-4"/>
          <w:sz w:val="16"/>
        </w:rPr>
        <w:t>環境部建築住宅局</w:t>
      </w:r>
      <w:r>
        <w:rPr>
          <w:rFonts w:hint="eastAsia"/>
          <w:spacing w:val="-4"/>
          <w:sz w:val="16"/>
        </w:rPr>
        <w:t>]</w:t>
      </w:r>
    </w:p>
    <w:p>
      <w:pPr>
        <w:pStyle w:val="0"/>
        <w:autoSpaceDE w:val="0"/>
        <w:autoSpaceDN w:val="0"/>
        <w:adjustRightInd w:val="0"/>
        <w:spacing w:line="360" w:lineRule="exact"/>
        <w:ind w:left="576"/>
        <w:jc w:val="left"/>
        <w:rPr>
          <w:rFonts w:hint="default"/>
          <w:kern w:val="0"/>
        </w:rPr>
      </w:pPr>
    </w:p>
    <w:p>
      <w:pPr>
        <w:pStyle w:val="0"/>
        <w:numPr>
          <w:ilvl w:val="0"/>
          <w:numId w:val="96"/>
        </w:numPr>
        <w:autoSpaceDE w:val="0"/>
        <w:autoSpaceDN w:val="0"/>
        <w:adjustRightInd w:val="0"/>
        <w:spacing w:line="360" w:lineRule="exact"/>
        <w:jc w:val="left"/>
        <w:rPr>
          <w:rFonts w:hint="default"/>
          <w:spacing w:val="-4"/>
          <w:kern w:val="0"/>
        </w:rPr>
      </w:pPr>
      <w:r>
        <w:rPr>
          <w:rFonts w:hint="eastAsia"/>
          <w:kern w:val="0"/>
        </w:rPr>
        <w:t>障害のある人の住宅内での移動等を容易にするため、市町が日常生活用具</w:t>
      </w:r>
      <w:r>
        <w:rPr>
          <w:rFonts w:hint="eastAsia"/>
          <w:spacing w:val="-4"/>
          <w:kern w:val="0"/>
          <w:vertAlign w:val="superscript"/>
        </w:rPr>
        <w:t>＊</w:t>
      </w:r>
      <w:r>
        <w:rPr>
          <w:rFonts w:hint="eastAsia"/>
          <w:kern w:val="0"/>
        </w:rPr>
        <w:t>給付等事業として実施する手すり、スロープなどの住宅改修費の給付を支援します。</w:t>
      </w:r>
      <w:r>
        <w:rPr>
          <w:rFonts w:hint="eastAsia"/>
          <w:sz w:val="16"/>
        </w:rPr>
        <w:t>[</w:t>
      </w:r>
      <w:r>
        <w:rPr>
          <w:rFonts w:hint="eastAsia"/>
          <w:sz w:val="16"/>
        </w:rPr>
        <w:t>健康福祉部障害者支援局</w:t>
      </w:r>
      <w:r>
        <w:rPr>
          <w:rFonts w:hint="eastAsia"/>
          <w:sz w:val="16"/>
        </w:rPr>
        <w:t>]</w:t>
      </w:r>
    </w:p>
    <w:p>
      <w:pPr>
        <w:pStyle w:val="0"/>
        <w:numPr>
          <w:ilvl w:val="0"/>
          <w:numId w:val="96"/>
        </w:numPr>
        <w:autoSpaceDE w:val="0"/>
        <w:autoSpaceDN w:val="0"/>
        <w:adjustRightInd w:val="0"/>
        <w:spacing w:line="360" w:lineRule="exact"/>
        <w:jc w:val="left"/>
        <w:rPr>
          <w:rFonts w:hint="default"/>
        </w:rPr>
      </w:pPr>
      <w:r>
        <w:rPr>
          <w:rFonts w:hint="eastAsia"/>
          <w:kern w:val="0"/>
        </w:rPr>
        <w:t>県営住宅の整備に当たっては、床の段差解消や手すりの設置などのユニバーサルデザイン</w:t>
      </w:r>
      <w:r>
        <w:rPr>
          <w:rFonts w:hint="eastAsia"/>
          <w:spacing w:val="-4"/>
          <w:kern w:val="0"/>
          <w:vertAlign w:val="superscript"/>
        </w:rPr>
        <w:t>＊</w:t>
      </w:r>
      <w:r>
        <w:rPr>
          <w:rFonts w:hint="eastAsia"/>
          <w:kern w:val="0"/>
        </w:rPr>
        <w:t>化を行うとともに、設備面でも障害のある人等に配慮した設計を行い、計画的に実施します。</w:t>
      </w:r>
      <w:r>
        <w:rPr>
          <w:rFonts w:hint="eastAsia"/>
          <w:spacing w:val="-4"/>
          <w:sz w:val="16"/>
        </w:rPr>
        <w:t>[</w:t>
      </w:r>
      <w:r>
        <w:rPr>
          <w:rFonts w:hint="eastAsia"/>
          <w:spacing w:val="-4"/>
          <w:sz w:val="16"/>
        </w:rPr>
        <w:t>くらし</w:t>
      </w:r>
      <w:r>
        <w:rPr>
          <w:rFonts w:hint="eastAsia"/>
          <w:sz w:val="16"/>
        </w:rPr>
        <w:t>・</w:t>
      </w:r>
      <w:r>
        <w:rPr>
          <w:rFonts w:hint="eastAsia"/>
          <w:spacing w:val="-4"/>
          <w:sz w:val="16"/>
        </w:rPr>
        <w:t>環境部建築住宅局</w:t>
      </w:r>
      <w:r>
        <w:rPr>
          <w:rFonts w:hint="eastAsia"/>
          <w:spacing w:val="-4"/>
          <w:sz w:val="16"/>
        </w:rPr>
        <w:t>]</w:t>
      </w:r>
    </w:p>
    <w:p>
      <w:pPr>
        <w:pStyle w:val="0"/>
        <w:autoSpaceDE w:val="0"/>
        <w:autoSpaceDN w:val="0"/>
        <w:adjustRightInd w:val="0"/>
        <w:spacing w:line="360" w:lineRule="exact"/>
        <w:ind w:left="576"/>
        <w:jc w:val="left"/>
        <w:rPr>
          <w:rFonts w:hint="default"/>
        </w:rPr>
      </w:pPr>
    </w:p>
    <w:p>
      <w:pPr>
        <w:pStyle w:val="0"/>
        <w:numPr>
          <w:ilvl w:val="0"/>
          <w:numId w:val="96"/>
        </w:numPr>
        <w:autoSpaceDE w:val="0"/>
        <w:autoSpaceDN w:val="0"/>
        <w:adjustRightInd w:val="0"/>
        <w:spacing w:line="360" w:lineRule="exact"/>
        <w:jc w:val="left"/>
        <w:rPr>
          <w:rFonts w:hint="default"/>
          <w:spacing w:val="-4"/>
          <w:kern w:val="0"/>
        </w:rPr>
      </w:pPr>
      <w:r>
        <w:rPr>
          <w:rFonts w:hint="eastAsia"/>
          <w:kern w:val="0"/>
        </w:rPr>
        <w:t>市街地再開発事業により整備される住宅について、エレベーターの設置、段差の解消、手すりの設置等を推進するため、事業を実施する組合等に対して、助言や啓発を行います。</w:t>
      </w:r>
      <w:r>
        <w:rPr>
          <w:rFonts w:hint="eastAsia"/>
          <w:spacing w:val="-4"/>
          <w:sz w:val="16"/>
        </w:rPr>
        <w:t>[</w:t>
      </w:r>
      <w:r>
        <w:rPr>
          <w:rFonts w:hint="eastAsia"/>
          <w:spacing w:val="-4"/>
          <w:sz w:val="16"/>
        </w:rPr>
        <w:t>交通基盤部都市局</w:t>
      </w:r>
      <w:r>
        <w:rPr>
          <w:rFonts w:hint="eastAsia"/>
          <w:spacing w:val="-4"/>
          <w:sz w:val="16"/>
        </w:rPr>
        <w:t>]</w:t>
      </w:r>
    </w:p>
    <w:p>
      <w:pPr>
        <w:pStyle w:val="0"/>
        <w:autoSpaceDE w:val="0"/>
        <w:autoSpaceDN w:val="0"/>
        <w:adjustRightInd w:val="0"/>
        <w:spacing w:line="360" w:lineRule="exact"/>
        <w:ind w:left="576"/>
        <w:jc w:val="left"/>
        <w:rPr>
          <w:rFonts w:hint="default"/>
          <w:spacing w:val="-4"/>
          <w:kern w:val="0"/>
        </w:rPr>
      </w:pPr>
    </w:p>
    <w:p>
      <w:pPr>
        <w:pStyle w:val="0"/>
        <w:numPr>
          <w:ilvl w:val="0"/>
          <w:numId w:val="96"/>
        </w:numPr>
        <w:autoSpaceDE w:val="0"/>
        <w:autoSpaceDN w:val="0"/>
        <w:adjustRightInd w:val="0"/>
        <w:spacing w:line="360" w:lineRule="exact"/>
        <w:jc w:val="left"/>
        <w:rPr>
          <w:rFonts w:hint="default"/>
          <w:spacing w:val="-4"/>
          <w:kern w:val="0"/>
        </w:rPr>
      </w:pPr>
      <w:r>
        <w:rPr>
          <w:rFonts w:hint="eastAsia"/>
          <w:kern w:val="0"/>
        </w:rPr>
        <w:t>住まいに関する相談体制を充実させるとともに、障害のある人などの住宅確保要配慮者</w:t>
      </w:r>
      <w:r>
        <w:rPr>
          <w:rFonts w:hint="eastAsia"/>
          <w:spacing w:val="-4"/>
          <w:kern w:val="0"/>
          <w:vertAlign w:val="superscript"/>
        </w:rPr>
        <w:t>＊</w:t>
      </w:r>
      <w:r>
        <w:rPr>
          <w:rFonts w:hint="eastAsia"/>
          <w:kern w:val="0"/>
        </w:rPr>
        <w:t>の入居を拒まない賃貸住宅を登録し、障害のある人等に配慮した住宅に関する情報を提供します。</w:t>
      </w:r>
      <w:r>
        <w:rPr>
          <w:rFonts w:hint="eastAsia"/>
          <w:spacing w:val="-4"/>
          <w:sz w:val="16"/>
        </w:rPr>
        <w:t>[</w:t>
      </w:r>
      <w:r>
        <w:rPr>
          <w:rFonts w:hint="eastAsia"/>
          <w:spacing w:val="-4"/>
          <w:sz w:val="16"/>
        </w:rPr>
        <w:t>くらし</w:t>
      </w:r>
      <w:r>
        <w:rPr>
          <w:rFonts w:hint="eastAsia"/>
          <w:sz w:val="16"/>
        </w:rPr>
        <w:t>・</w:t>
      </w:r>
      <w:r>
        <w:rPr>
          <w:rFonts w:hint="eastAsia"/>
          <w:spacing w:val="-4"/>
          <w:sz w:val="16"/>
        </w:rPr>
        <w:t>環境部建築住宅局</w:t>
      </w:r>
      <w:r>
        <w:rPr>
          <w:rFonts w:hint="eastAsia"/>
          <w:spacing w:val="-4"/>
          <w:sz w:val="16"/>
        </w:rPr>
        <w:t>]</w:t>
      </w:r>
    </w:p>
    <w:p>
      <w:pPr>
        <w:pStyle w:val="0"/>
        <w:rPr>
          <w:rFonts w:hint="default"/>
        </w:rPr>
      </w:pPr>
    </w:p>
    <w:p>
      <w:pPr>
        <w:pStyle w:val="0"/>
        <w:outlineLvl w:val="2"/>
        <w:rPr>
          <w:rFonts w:hint="default" w:ascii="ＭＳ ゴシック" w:hAnsi="ＭＳ ゴシック" w:eastAsia="ＭＳ ゴシック"/>
        </w:rPr>
      </w:pPr>
      <w:bookmarkStart w:id="127" w:name="_Toc503474089"/>
      <w:r>
        <w:rPr>
          <w:rFonts w:hint="eastAsia" w:ascii="ＭＳ ゴシック" w:hAnsi="ＭＳ ゴシック" w:eastAsia="ＭＳ ゴシック"/>
        </w:rPr>
        <w:t>（３）地域における防災体制の充実</w:t>
      </w:r>
      <w:bookmarkEnd w:id="127"/>
    </w:p>
    <w:p>
      <w:pPr>
        <w:pStyle w:val="0"/>
        <w:rPr>
          <w:rFonts w:hint="default" w:ascii="ＭＳ ゴシック" w:hAnsi="ＭＳ ゴシック" w:eastAsia="ＭＳ ゴシック"/>
        </w:rPr>
      </w:pPr>
      <w:r>
        <w:rPr>
          <w:rFonts w:hint="eastAsia" w:ascii="ＭＳ ゴシック" w:hAnsi="ＭＳ ゴシック" w:eastAsia="ＭＳ ゴシック"/>
        </w:rPr>
        <w:t>【現状と課題】</w:t>
      </w:r>
    </w:p>
    <w:p>
      <w:pPr>
        <w:pStyle w:val="0"/>
        <w:numPr>
          <w:ilvl w:val="0"/>
          <w:numId w:val="95"/>
        </w:numPr>
        <w:autoSpaceDE w:val="0"/>
        <w:autoSpaceDN w:val="0"/>
        <w:adjustRightInd w:val="0"/>
        <w:spacing w:line="360" w:lineRule="exact"/>
        <w:jc w:val="left"/>
        <w:rPr>
          <w:rFonts w:hint="default"/>
          <w:color w:val="000000" w:themeColor="text1"/>
        </w:rPr>
      </w:pPr>
      <w:r>
        <w:rPr>
          <w:rFonts w:hint="eastAsia"/>
          <w:color w:val="000000" w:themeColor="text1"/>
          <w:kern w:val="0"/>
        </w:rPr>
        <w:t>災害における全体の死者のうち</w:t>
      </w:r>
      <w:r>
        <w:rPr>
          <w:rFonts w:hint="eastAsia"/>
          <w:color w:val="000000" w:themeColor="text1"/>
          <w:kern w:val="0"/>
        </w:rPr>
        <w:t>65</w:t>
      </w:r>
      <w:r>
        <w:rPr>
          <w:rFonts w:hint="eastAsia"/>
          <w:color w:val="000000" w:themeColor="text1"/>
          <w:kern w:val="0"/>
        </w:rPr>
        <w:t>歳以上の高齢者の割合は、</w:t>
      </w:r>
      <w:r>
        <w:rPr>
          <w:rFonts w:hint="eastAsia"/>
          <w:color w:val="000000" w:themeColor="text1"/>
          <w:kern w:val="0"/>
        </w:rPr>
        <w:t>2019</w:t>
      </w:r>
      <w:r>
        <w:rPr>
          <w:rFonts w:hint="eastAsia"/>
          <w:color w:val="000000" w:themeColor="text1"/>
          <w:kern w:val="0"/>
        </w:rPr>
        <w:t>年台風</w:t>
      </w:r>
      <w:r>
        <w:rPr>
          <w:rFonts w:hint="eastAsia"/>
          <w:color w:val="000000" w:themeColor="text1"/>
          <w:kern w:val="0"/>
        </w:rPr>
        <w:t>19</w:t>
      </w:r>
      <w:r>
        <w:rPr>
          <w:rFonts w:hint="eastAsia"/>
          <w:color w:val="000000" w:themeColor="text1"/>
          <w:kern w:val="0"/>
        </w:rPr>
        <w:t>号では約</w:t>
      </w:r>
      <w:r>
        <w:rPr>
          <w:rFonts w:hint="eastAsia"/>
          <w:color w:val="000000" w:themeColor="text1"/>
          <w:kern w:val="0"/>
        </w:rPr>
        <w:t>65</w:t>
      </w:r>
      <w:r>
        <w:rPr>
          <w:rFonts w:hint="eastAsia"/>
          <w:color w:val="000000" w:themeColor="text1"/>
          <w:kern w:val="0"/>
        </w:rPr>
        <w:t>％、</w:t>
      </w:r>
      <w:r>
        <w:rPr>
          <w:rFonts w:hint="eastAsia"/>
          <w:color w:val="000000" w:themeColor="text1"/>
          <w:kern w:val="0"/>
        </w:rPr>
        <w:t>2020</w:t>
      </w:r>
      <w:r>
        <w:rPr>
          <w:rFonts w:hint="eastAsia"/>
          <w:color w:val="000000" w:themeColor="text1"/>
          <w:kern w:val="0"/>
        </w:rPr>
        <w:t>年７月豪雨では約</w:t>
      </w:r>
      <w:r>
        <w:rPr>
          <w:rFonts w:hint="eastAsia"/>
          <w:color w:val="000000" w:themeColor="text1"/>
          <w:kern w:val="0"/>
        </w:rPr>
        <w:t>79</w:t>
      </w:r>
      <w:r>
        <w:rPr>
          <w:rFonts w:hint="eastAsia"/>
          <w:color w:val="000000" w:themeColor="text1"/>
          <w:kern w:val="0"/>
        </w:rPr>
        <w:t>％であるなど、近年の災害においても高齢者や障害のある人が犠牲となっています。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95"/>
        </w:numPr>
        <w:autoSpaceDE w:val="0"/>
        <w:autoSpaceDN w:val="0"/>
        <w:adjustRightInd w:val="0"/>
        <w:spacing w:line="360" w:lineRule="exact"/>
        <w:jc w:val="left"/>
        <w:rPr>
          <w:rFonts w:hint="default"/>
          <w:color w:val="000000" w:themeColor="text1"/>
        </w:rPr>
      </w:pPr>
      <w:r>
        <w:rPr>
          <w:rFonts w:hint="eastAsia"/>
          <w:color w:val="000000" w:themeColor="text1"/>
          <w:kern w:val="0"/>
        </w:rPr>
        <w:t>障害のある人が安心して生活していくためには、災害時等における十分な配慮と対応がなされることが重要であり、障害のある人の状況や視点に立った顔の見える防災対策が必要です。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95"/>
        </w:numPr>
        <w:autoSpaceDE w:val="0"/>
        <w:autoSpaceDN w:val="0"/>
        <w:adjustRightInd w:val="0"/>
        <w:spacing w:line="360" w:lineRule="exact"/>
        <w:jc w:val="left"/>
        <w:rPr>
          <w:rFonts w:hint="default"/>
          <w:color w:val="000000" w:themeColor="text1"/>
        </w:rPr>
      </w:pPr>
      <w:r>
        <w:rPr>
          <w:rFonts w:hint="eastAsia"/>
          <w:color w:val="000000" w:themeColor="text1"/>
          <w:kern w:val="0"/>
        </w:rPr>
        <w:t>「障害のある方の実態調査」（</w:t>
      </w:r>
      <w:r>
        <w:rPr>
          <w:rFonts w:hint="eastAsia"/>
          <w:color w:val="000000" w:themeColor="text1"/>
          <w:kern w:val="0"/>
        </w:rPr>
        <w:t>2020</w:t>
      </w:r>
      <w:r>
        <w:rPr>
          <w:rFonts w:hint="eastAsia"/>
          <w:color w:val="000000" w:themeColor="text1"/>
          <w:kern w:val="0"/>
        </w:rPr>
        <w:t>年度）によると、災害が発生したときに必要なものとして、</w:t>
      </w:r>
      <w:r>
        <w:rPr>
          <w:rFonts w:hint="eastAsia"/>
          <w:color w:val="000000" w:themeColor="text1"/>
          <w:kern w:val="0"/>
        </w:rPr>
        <w:t>47.3</w:t>
      </w:r>
      <w:r>
        <w:rPr>
          <w:rFonts w:hint="eastAsia"/>
          <w:color w:val="000000" w:themeColor="text1"/>
          <w:kern w:val="0"/>
        </w:rPr>
        <w:t>％の人が「避難や災害の情報をわかりやすく教えて欲しい」、</w:t>
      </w:r>
      <w:r>
        <w:rPr>
          <w:rFonts w:hint="eastAsia"/>
          <w:color w:val="000000" w:themeColor="text1"/>
          <w:kern w:val="0"/>
        </w:rPr>
        <w:t>29.8</w:t>
      </w:r>
      <w:r>
        <w:rPr>
          <w:rFonts w:hint="eastAsia"/>
          <w:color w:val="000000" w:themeColor="text1"/>
          <w:kern w:val="0"/>
        </w:rPr>
        <w:t>％の人が「必要な人に薬や車いす等の物資が行き渡るようにしてほしい」、</w:t>
      </w:r>
      <w:r>
        <w:rPr>
          <w:rFonts w:hint="eastAsia"/>
          <w:color w:val="000000" w:themeColor="text1"/>
          <w:kern w:val="0"/>
        </w:rPr>
        <w:t>27.9</w:t>
      </w:r>
      <w:r>
        <w:rPr>
          <w:rFonts w:hint="eastAsia"/>
          <w:color w:val="000000" w:themeColor="text1"/>
          <w:kern w:val="0"/>
        </w:rPr>
        <w:t>％の人が「避難を助けてくれる人を増やして欲しい」と回答しています。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95"/>
        </w:numPr>
        <w:autoSpaceDE w:val="0"/>
        <w:autoSpaceDN w:val="0"/>
        <w:adjustRightInd w:val="0"/>
        <w:spacing w:line="360" w:lineRule="exact"/>
        <w:jc w:val="left"/>
        <w:rPr>
          <w:rFonts w:hint="default"/>
          <w:color w:val="000000" w:themeColor="text1"/>
        </w:rPr>
      </w:pPr>
      <w:r>
        <w:rPr>
          <w:rFonts w:hint="eastAsia"/>
          <w:color w:val="000000" w:themeColor="text1"/>
          <w:kern w:val="0"/>
        </w:rPr>
        <w:t>避難行動要支援者</w:t>
      </w:r>
      <w:r>
        <w:rPr>
          <w:rFonts w:hint="eastAsia"/>
          <w:color w:val="000000" w:themeColor="text1"/>
          <w:spacing w:val="-4"/>
          <w:kern w:val="0"/>
          <w:vertAlign w:val="superscript"/>
        </w:rPr>
        <w:t>＊</w:t>
      </w:r>
      <w:r>
        <w:rPr>
          <w:rFonts w:hint="eastAsia"/>
          <w:color w:val="000000" w:themeColor="text1"/>
          <w:kern w:val="0"/>
        </w:rPr>
        <w:t>については、災害時に自力で迅速に避難することが困難であることや電話等の不通により安否確認に時間を要することが想定されるため、避難行動要支援者に係る情報（住所、氏名、避難支援者、避難先、配慮すべき事項等）について、市町において予め記載した個別避難計画を作成しておく必要がありま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95"/>
        </w:numPr>
        <w:autoSpaceDE w:val="0"/>
        <w:autoSpaceDN w:val="0"/>
        <w:adjustRightInd w:val="0"/>
        <w:spacing w:line="360" w:lineRule="exact"/>
        <w:jc w:val="left"/>
        <w:rPr>
          <w:rFonts w:hint="default"/>
        </w:rPr>
      </w:pPr>
      <w:r>
        <w:rPr>
          <w:rFonts w:hint="eastAsia"/>
          <w:color w:val="000000" w:themeColor="text1"/>
          <w:kern w:val="0"/>
        </w:rPr>
        <w:t>要配慮者</w:t>
      </w:r>
      <w:r>
        <w:rPr>
          <w:rFonts w:hint="eastAsia"/>
          <w:color w:val="000000" w:themeColor="text1"/>
          <w:spacing w:val="-4"/>
          <w:kern w:val="0"/>
          <w:vertAlign w:val="superscript"/>
        </w:rPr>
        <w:t>＊</w:t>
      </w:r>
      <w:r>
        <w:rPr>
          <w:rFonts w:hint="eastAsia"/>
          <w:color w:val="000000" w:themeColor="text1"/>
          <w:kern w:val="0"/>
        </w:rPr>
        <w:t>については、一般的な避難所では避難生活に支障をきたすことも考えられるため、市町において、予め</w:t>
      </w:r>
      <w:r>
        <w:rPr>
          <w:rFonts w:hint="eastAsia"/>
          <w:kern w:val="0"/>
        </w:rPr>
        <w:t>福祉避難所</w:t>
      </w:r>
      <w:r>
        <w:rPr>
          <w:rFonts w:hint="eastAsia"/>
          <w:spacing w:val="-4"/>
          <w:kern w:val="0"/>
          <w:vertAlign w:val="superscript"/>
        </w:rPr>
        <w:t>＊</w:t>
      </w:r>
      <w:r>
        <w:rPr>
          <w:rFonts w:hint="eastAsia"/>
          <w:kern w:val="0"/>
        </w:rPr>
        <w:t>（要配慮者のために特別の配慮がなされた避難所）を確保しておく必要があります。また、福祉避難所が開設されるまでの避難スペースとして、避難所に要配慮者用のスペースを確保することも重要です。</w:t>
      </w:r>
    </w:p>
    <w:p>
      <w:pPr>
        <w:pStyle w:val="0"/>
        <w:autoSpaceDE w:val="0"/>
        <w:autoSpaceDN w:val="0"/>
        <w:adjustRightInd w:val="0"/>
        <w:spacing w:line="360" w:lineRule="exact"/>
        <w:ind w:left="576"/>
        <w:jc w:val="left"/>
        <w:rPr>
          <w:rFonts w:hint="default"/>
        </w:rPr>
      </w:pPr>
    </w:p>
    <w:p>
      <w:pPr>
        <w:pStyle w:val="0"/>
        <w:numPr>
          <w:ilvl w:val="0"/>
          <w:numId w:val="95"/>
        </w:numPr>
        <w:autoSpaceDE w:val="0"/>
        <w:autoSpaceDN w:val="0"/>
        <w:adjustRightInd w:val="0"/>
        <w:spacing w:line="360" w:lineRule="exact"/>
        <w:jc w:val="left"/>
        <w:rPr>
          <w:rFonts w:hint="default"/>
        </w:rPr>
      </w:pPr>
      <w:r>
        <w:rPr>
          <w:rFonts w:hint="eastAsia"/>
          <w:kern w:val="0"/>
        </w:rPr>
        <w:t>障害のある人が災害時に安全に避難するために、正確で迅速な情報を提供するなどきめ細かな対策が求められています。</w:t>
      </w:r>
    </w:p>
    <w:p>
      <w:pPr>
        <w:pStyle w:val="0"/>
        <w:rPr>
          <w:rFonts w:hint="default"/>
        </w:rPr>
      </w:pPr>
      <w:r>
        <w:rPr>
          <w:rFonts w:hint="eastAsia" w:ascii="ＭＳ ゴシック" w:hAnsi="ＭＳ ゴシック" w:eastAsia="ＭＳ ゴシック"/>
        </w:rPr>
        <w:t>【県の取組】</w:t>
      </w: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ア　地域における防災体制の充実</w:t>
      </w:r>
    </w:p>
    <w:p>
      <w:pPr>
        <w:pStyle w:val="0"/>
        <w:numPr>
          <w:ilvl w:val="0"/>
          <w:numId w:val="97"/>
        </w:numPr>
        <w:autoSpaceDE w:val="0"/>
        <w:autoSpaceDN w:val="0"/>
        <w:adjustRightInd w:val="0"/>
        <w:spacing w:line="360" w:lineRule="exact"/>
        <w:jc w:val="left"/>
        <w:rPr>
          <w:rFonts w:hint="default"/>
        </w:rPr>
      </w:pPr>
      <w:r>
        <w:rPr>
          <w:rFonts w:hint="eastAsia"/>
          <w:kern w:val="0"/>
        </w:rPr>
        <w:t>県や市町の地域防災計画を随時見直し、社会状況の変化、地域の実情に応じた防災体制の充実を図ります。また、県地域防災計画及びこれに基づく各種防災対策の策定に当たっては、県防災会議の委員に障害者団体の代表者等を選任し、障害のある人の意見を反映します。</w:t>
      </w:r>
      <w:r>
        <w:rPr>
          <w:rFonts w:hint="eastAsia"/>
          <w:spacing w:val="-4"/>
          <w:kern w:val="0"/>
          <w:sz w:val="16"/>
        </w:rPr>
        <w:t>[</w:t>
      </w:r>
      <w:r>
        <w:rPr>
          <w:rFonts w:hint="eastAsia"/>
          <w:spacing w:val="-4"/>
          <w:kern w:val="0"/>
          <w:sz w:val="16"/>
        </w:rPr>
        <w:t>危機管理部</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numPr>
          <w:ilvl w:val="0"/>
          <w:numId w:val="97"/>
        </w:numPr>
        <w:autoSpaceDE w:val="0"/>
        <w:autoSpaceDN w:val="0"/>
        <w:adjustRightInd w:val="0"/>
        <w:spacing w:line="360" w:lineRule="exact"/>
        <w:jc w:val="left"/>
        <w:rPr>
          <w:rFonts w:hint="default"/>
        </w:rPr>
      </w:pPr>
      <w:r>
        <w:rPr>
          <w:rFonts w:hint="eastAsia"/>
          <w:kern w:val="0"/>
        </w:rPr>
        <w:t>緊急地震速報や津波警報、大雨・洪水警報、避難指示などの危機管理情報については、避難行動要支援者</w:t>
      </w:r>
      <w:r>
        <w:rPr>
          <w:rFonts w:hint="eastAsia"/>
          <w:spacing w:val="-4"/>
          <w:kern w:val="0"/>
          <w:vertAlign w:val="superscript"/>
        </w:rPr>
        <w:t>＊</w:t>
      </w:r>
      <w:r>
        <w:rPr>
          <w:rFonts w:hint="eastAsia"/>
          <w:kern w:val="0"/>
        </w:rPr>
        <w:t>に配慮した提供体制の構築、普及に努めるとともに、市町が行う情報提供体制の整備等を支援します。</w:t>
      </w:r>
      <w:r>
        <w:rPr>
          <w:rFonts w:hint="eastAsia"/>
          <w:spacing w:val="-4"/>
          <w:kern w:val="0"/>
          <w:sz w:val="16"/>
        </w:rPr>
        <w:t>[</w:t>
      </w:r>
      <w:r>
        <w:rPr>
          <w:rFonts w:hint="eastAsia"/>
          <w:spacing w:val="-4"/>
          <w:kern w:val="0"/>
          <w:sz w:val="16"/>
        </w:rPr>
        <w:t>危機管理部</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numPr>
          <w:ilvl w:val="0"/>
          <w:numId w:val="97"/>
        </w:numPr>
        <w:autoSpaceDE w:val="0"/>
        <w:autoSpaceDN w:val="0"/>
        <w:adjustRightInd w:val="0"/>
        <w:spacing w:line="360" w:lineRule="exact"/>
        <w:jc w:val="left"/>
        <w:rPr>
          <w:rFonts w:hint="default"/>
        </w:rPr>
      </w:pPr>
      <w:r>
        <w:rPr>
          <w:rFonts w:hint="eastAsia"/>
          <w:kern w:val="0"/>
        </w:rPr>
        <w:t>危機管理情報を迅速かつ適確に伝達するため、緊急速報メールや登録型メール、ＳＮＳ等多様な伝達ツールの充実を図ります。また、避難所における要配慮者</w:t>
      </w:r>
      <w:r>
        <w:rPr>
          <w:rFonts w:hint="eastAsia"/>
          <w:spacing w:val="-4"/>
          <w:kern w:val="0"/>
          <w:vertAlign w:val="superscript"/>
        </w:rPr>
        <w:t>＊</w:t>
      </w:r>
      <w:r>
        <w:rPr>
          <w:rFonts w:hint="eastAsia"/>
          <w:kern w:val="0"/>
        </w:rPr>
        <w:t>へ配慮した運営の必要性等を、マニュアルに記載します。</w:t>
      </w:r>
      <w:r>
        <w:rPr>
          <w:rFonts w:hint="eastAsia"/>
          <w:spacing w:val="-4"/>
          <w:kern w:val="0"/>
          <w:sz w:val="16"/>
        </w:rPr>
        <w:t>[</w:t>
      </w:r>
      <w:r>
        <w:rPr>
          <w:rFonts w:hint="eastAsia"/>
          <w:spacing w:val="-4"/>
          <w:kern w:val="0"/>
          <w:sz w:val="16"/>
        </w:rPr>
        <w:t>危機管理部</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numPr>
          <w:ilvl w:val="0"/>
          <w:numId w:val="97"/>
        </w:numPr>
        <w:autoSpaceDE w:val="0"/>
        <w:autoSpaceDN w:val="0"/>
        <w:adjustRightInd w:val="0"/>
        <w:spacing w:line="360" w:lineRule="exact"/>
        <w:jc w:val="left"/>
        <w:rPr>
          <w:rFonts w:hint="default"/>
        </w:rPr>
      </w:pPr>
      <w:r>
        <w:rPr>
          <w:rFonts w:hint="eastAsia"/>
          <w:kern w:val="0"/>
        </w:rPr>
        <w:t>災害発生時に要配慮者</w:t>
      </w:r>
      <w:r>
        <w:rPr>
          <w:rFonts w:hint="eastAsia"/>
          <w:spacing w:val="-4"/>
          <w:kern w:val="0"/>
          <w:vertAlign w:val="superscript"/>
        </w:rPr>
        <w:t>＊</w:t>
      </w:r>
      <w:r>
        <w:rPr>
          <w:rFonts w:hint="eastAsia"/>
          <w:kern w:val="0"/>
        </w:rPr>
        <w:t>が安心して避難生活を送れるよう、福祉避難所</w:t>
      </w:r>
      <w:r>
        <w:rPr>
          <w:rFonts w:hint="eastAsia"/>
          <w:spacing w:val="-4"/>
          <w:kern w:val="0"/>
          <w:vertAlign w:val="superscript"/>
        </w:rPr>
        <w:t>＊</w:t>
      </w:r>
      <w:r>
        <w:rPr>
          <w:rFonts w:hint="eastAsia"/>
          <w:kern w:val="0"/>
        </w:rPr>
        <w:t>の指定や一般避難所における要配慮者スペースの確保、民間宿泊施設の福祉避難所としての活用を促進します。</w:t>
      </w:r>
      <w:r>
        <w:rPr>
          <w:rFonts w:hint="eastAsia"/>
          <w:spacing w:val="-4"/>
          <w:kern w:val="0"/>
          <w:sz w:val="16"/>
        </w:rPr>
        <w:t>[</w:t>
      </w:r>
      <w:r>
        <w:rPr>
          <w:rFonts w:hint="eastAsia"/>
          <w:spacing w:val="-4"/>
          <w:kern w:val="0"/>
          <w:sz w:val="16"/>
        </w:rPr>
        <w:t>健康福祉部政策管理局</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numPr>
          <w:ilvl w:val="0"/>
          <w:numId w:val="97"/>
        </w:numPr>
        <w:autoSpaceDE w:val="0"/>
        <w:autoSpaceDN w:val="0"/>
        <w:adjustRightInd w:val="0"/>
        <w:spacing w:line="360" w:lineRule="exact"/>
        <w:jc w:val="left"/>
        <w:rPr>
          <w:rFonts w:hint="default"/>
        </w:rPr>
      </w:pPr>
      <w:r>
        <w:rPr>
          <w:rFonts w:hint="eastAsia"/>
          <w:kern w:val="0"/>
        </w:rPr>
        <w:t>近年、増加している風水害に対し、迅速な避難行動をとるためには、雨量や河川の水位情報をいち早く入手する事が重要であることから、雨量・水位情報や河川のリアルタイム映像を、パソコンやスマートフォン等から確認できる県の防災情報発信サイト「サイポスレーダー」</w:t>
      </w:r>
      <w:r>
        <w:rPr>
          <w:rFonts w:hint="eastAsia"/>
          <w:vertAlign w:val="superscript"/>
        </w:rPr>
        <w:t>＊</w:t>
      </w:r>
      <w:r>
        <w:rPr>
          <w:rFonts w:hint="eastAsia"/>
          <w:kern w:val="0"/>
        </w:rPr>
        <w:t>を、障害のある人を含む一般県民に対し、積極的に周知します。</w:t>
      </w:r>
      <w:r>
        <w:rPr>
          <w:rFonts w:hint="eastAsia"/>
          <w:spacing w:val="-4"/>
          <w:kern w:val="0"/>
          <w:sz w:val="16"/>
        </w:rPr>
        <w:t>[</w:t>
      </w:r>
      <w:r>
        <w:rPr>
          <w:rFonts w:hint="eastAsia"/>
          <w:spacing w:val="-4"/>
          <w:kern w:val="0"/>
          <w:sz w:val="16"/>
        </w:rPr>
        <w:t>交通基盤部河川砂防局</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numPr>
          <w:ilvl w:val="0"/>
          <w:numId w:val="97"/>
        </w:numPr>
        <w:autoSpaceDE w:val="0"/>
        <w:autoSpaceDN w:val="0"/>
        <w:adjustRightInd w:val="0"/>
        <w:spacing w:line="360" w:lineRule="exact"/>
        <w:jc w:val="left"/>
        <w:rPr>
          <w:rFonts w:hint="default"/>
        </w:rPr>
      </w:pPr>
      <w:r>
        <w:rPr>
          <w:rFonts w:hint="eastAsia"/>
          <w:kern w:val="0"/>
        </w:rPr>
        <w:t>県の地震被害想定に係る情報を地図上でわかりやすく提供するため、津波浸水想定区域図や各種ハザードマップ等の整備を促進し、周知を徹底します。</w:t>
      </w:r>
      <w:r>
        <w:rPr>
          <w:rFonts w:hint="eastAsia"/>
          <w:spacing w:val="-4"/>
          <w:kern w:val="0"/>
          <w:sz w:val="16"/>
        </w:rPr>
        <w:t>[</w:t>
      </w:r>
      <w:r>
        <w:rPr>
          <w:rFonts w:hint="eastAsia"/>
          <w:spacing w:val="-4"/>
          <w:kern w:val="0"/>
          <w:sz w:val="16"/>
        </w:rPr>
        <w:t>危機管理部</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numPr>
          <w:ilvl w:val="0"/>
          <w:numId w:val="97"/>
        </w:numPr>
        <w:autoSpaceDE w:val="0"/>
        <w:autoSpaceDN w:val="0"/>
        <w:adjustRightInd w:val="0"/>
        <w:spacing w:line="360" w:lineRule="exact"/>
        <w:jc w:val="left"/>
        <w:rPr>
          <w:rFonts w:hint="default"/>
          <w:color w:val="000000" w:themeColor="text1"/>
        </w:rPr>
      </w:pPr>
      <w:r>
        <w:rPr>
          <w:rFonts w:hint="eastAsia"/>
          <w:color w:val="000000" w:themeColor="text1"/>
          <w:spacing w:val="-4"/>
          <w:kern w:val="0"/>
        </w:rPr>
        <w:t>災害等緊急時に備え、障害のある人など避難行動要支援者</w:t>
      </w:r>
      <w:r>
        <w:rPr>
          <w:rFonts w:hint="eastAsia"/>
          <w:spacing w:val="-4"/>
          <w:kern w:val="0"/>
          <w:vertAlign w:val="superscript"/>
        </w:rPr>
        <w:t>＊</w:t>
      </w:r>
      <w:r>
        <w:rPr>
          <w:rFonts w:hint="eastAsia"/>
          <w:color w:val="000000" w:themeColor="text1"/>
          <w:spacing w:val="-4"/>
          <w:kern w:val="0"/>
        </w:rPr>
        <w:t>の迅速な避難支援及び的確な安否確認等を行うため、個人情報の保護に配慮しつつ、市町における個別避難計画の作成を促進します。また、計画の実効性を高めるため、福祉専門職と自主防災組織等の連携による「災害時ケアプラン」の作成を推進します。</w:t>
      </w:r>
      <w:r>
        <w:rPr>
          <w:rFonts w:hint="eastAsia"/>
          <w:color w:val="000000" w:themeColor="text1"/>
          <w:spacing w:val="-4"/>
          <w:kern w:val="0"/>
          <w:sz w:val="16"/>
        </w:rPr>
        <w:t>[</w:t>
      </w:r>
      <w:r>
        <w:rPr>
          <w:rFonts w:hint="eastAsia"/>
          <w:color w:val="000000" w:themeColor="text1"/>
          <w:spacing w:val="-4"/>
          <w:kern w:val="0"/>
          <w:sz w:val="16"/>
        </w:rPr>
        <w:t>健康福祉部政策管理局</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rPr>
      </w:pPr>
    </w:p>
    <w:p>
      <w:pPr>
        <w:pStyle w:val="0"/>
        <w:numPr>
          <w:ilvl w:val="0"/>
          <w:numId w:val="97"/>
        </w:numPr>
        <w:autoSpaceDE w:val="0"/>
        <w:autoSpaceDN w:val="0"/>
        <w:adjustRightInd w:val="0"/>
        <w:spacing w:line="360" w:lineRule="exact"/>
        <w:jc w:val="left"/>
        <w:rPr>
          <w:rFonts w:hint="default"/>
          <w:color w:val="000000" w:themeColor="text1"/>
        </w:rPr>
      </w:pPr>
      <w:r>
        <w:rPr>
          <w:rFonts w:hint="eastAsia"/>
          <w:color w:val="000000" w:themeColor="text1"/>
          <w:kern w:val="0"/>
        </w:rPr>
        <w:t>大規模地震災害発生時には、地域在住の重症難病患者については避難行動要支援者</w:t>
      </w:r>
      <w:r>
        <w:rPr>
          <w:rFonts w:hint="eastAsia"/>
          <w:spacing w:val="-4"/>
          <w:kern w:val="0"/>
          <w:vertAlign w:val="superscript"/>
        </w:rPr>
        <w:t>＊</w:t>
      </w:r>
      <w:r>
        <w:rPr>
          <w:rFonts w:hint="eastAsia"/>
          <w:color w:val="000000" w:themeColor="text1"/>
          <w:kern w:val="0"/>
        </w:rPr>
        <w:t>として、その特性に配慮した独自の対策が必要であることが明らかになったことから、重度の障害等により寝たきりとなっている人や人工呼吸器などの特別な機器を必要とする患者に対して、災害時要支援者名簿や個別支援計画</w:t>
      </w:r>
      <w:r>
        <w:rPr>
          <w:rFonts w:hint="eastAsia"/>
          <w:spacing w:val="-4"/>
          <w:kern w:val="0"/>
          <w:vertAlign w:val="superscript"/>
        </w:rPr>
        <w:t>＊</w:t>
      </w:r>
      <w:r>
        <w:rPr>
          <w:rFonts w:hint="eastAsia"/>
          <w:color w:val="000000" w:themeColor="text1"/>
          <w:kern w:val="0"/>
        </w:rPr>
        <w:t>の策定協力を行うほか、防災ベッドフレーム</w:t>
      </w:r>
      <w:r>
        <w:rPr>
          <w:rFonts w:hint="eastAsia"/>
          <w:color w:val="000000" w:themeColor="text1"/>
          <w:spacing w:val="-4"/>
          <w:kern w:val="0"/>
          <w:vertAlign w:val="superscript"/>
        </w:rPr>
        <w:t>＊</w:t>
      </w:r>
      <w:r>
        <w:rPr>
          <w:rFonts w:hint="eastAsia"/>
          <w:color w:val="000000" w:themeColor="text1"/>
          <w:kern w:val="0"/>
        </w:rPr>
        <w:t>や人工呼吸器用バッテリー等を購入する際に市町を通じて助成を行うなど、病院等や市町と連携して災害時に対応できるように支援体制の充実を図ります。</w:t>
      </w:r>
      <w:r>
        <w:rPr>
          <w:rFonts w:hint="eastAsia"/>
          <w:color w:val="000000" w:themeColor="text1"/>
          <w:spacing w:val="-4"/>
          <w:kern w:val="0"/>
          <w:sz w:val="16"/>
        </w:rPr>
        <w:t>[</w:t>
      </w:r>
      <w:r>
        <w:rPr>
          <w:rFonts w:hint="eastAsia"/>
          <w:color w:val="000000" w:themeColor="text1"/>
          <w:sz w:val="16"/>
        </w:rPr>
        <w:t>健康福祉部</w:t>
      </w:r>
      <w:r>
        <w:rPr>
          <w:rFonts w:hint="eastAsia"/>
          <w:color w:val="000000" w:themeColor="text1"/>
          <w:spacing w:val="-4"/>
          <w:kern w:val="0"/>
          <w:sz w:val="16"/>
        </w:rPr>
        <w:t>医療局</w:t>
      </w:r>
      <w:r>
        <w:rPr>
          <w:rFonts w:hint="eastAsia"/>
          <w:color w:val="000000" w:themeColor="text1"/>
          <w:spacing w:val="-4"/>
          <w:kern w:val="0"/>
          <w:sz w:val="16"/>
        </w:rPr>
        <w:t>]</w:t>
      </w:r>
      <w:r>
        <w:rPr>
          <w:rFonts w:hint="eastAsia"/>
          <w:color w:val="000000" w:themeColor="text1"/>
          <w:spacing w:val="-4"/>
          <w:kern w:val="0"/>
          <w:sz w:val="16"/>
        </w:rPr>
        <w:t>、</w:t>
      </w:r>
      <w:r>
        <w:rPr>
          <w:rFonts w:hint="eastAsia"/>
          <w:color w:val="000000" w:themeColor="text1"/>
          <w:spacing w:val="-4"/>
          <w:kern w:val="0"/>
          <w:sz w:val="16"/>
        </w:rPr>
        <w:t>[</w:t>
      </w:r>
      <w:r>
        <w:rPr>
          <w:rFonts w:hint="eastAsia"/>
          <w:color w:val="000000" w:themeColor="text1"/>
          <w:spacing w:val="-4"/>
          <w:kern w:val="0"/>
          <w:sz w:val="16"/>
        </w:rPr>
        <w:t>危機管理部</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rPr>
      </w:pPr>
    </w:p>
    <w:p>
      <w:pPr>
        <w:pStyle w:val="0"/>
        <w:numPr>
          <w:ilvl w:val="0"/>
          <w:numId w:val="97"/>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rPr>
        <w:t>福祉避難所</w:t>
      </w:r>
      <w:r>
        <w:rPr>
          <w:rFonts w:hint="eastAsia"/>
          <w:spacing w:val="-4"/>
          <w:kern w:val="0"/>
          <w:vertAlign w:val="superscript"/>
        </w:rPr>
        <w:t>＊</w:t>
      </w:r>
      <w:r>
        <w:rPr>
          <w:rFonts w:hint="eastAsia"/>
          <w:color w:val="000000" w:themeColor="text1"/>
        </w:rPr>
        <w:t>が開設されるまでの間や、福祉避難所だけでは障害のある人の避難先が十分に確保できない場合等に備え、「宿泊施設への福祉避難所設置モデル（賀茂モデル）」、「指定避難所を活用した要配慮者受入れモデル（東部モデル）」の取組を市町に普及させ、福祉避難所の設置促進を図ります。</w:t>
      </w:r>
      <w:r>
        <w:rPr>
          <w:rFonts w:hint="eastAsia"/>
          <w:color w:val="000000" w:themeColor="text1"/>
          <w:spacing w:val="-4"/>
          <w:kern w:val="0"/>
          <w:sz w:val="16"/>
        </w:rPr>
        <w:t>[</w:t>
      </w:r>
      <w:r>
        <w:rPr>
          <w:rFonts w:hint="eastAsia"/>
          <w:color w:val="000000" w:themeColor="text1"/>
          <w:spacing w:val="-4"/>
          <w:kern w:val="0"/>
          <w:sz w:val="16"/>
        </w:rPr>
        <w:t>健康福祉部政策管理局</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spacing w:val="-4"/>
          <w:kern w:val="0"/>
          <w:sz w:val="16"/>
        </w:rPr>
      </w:pPr>
    </w:p>
    <w:p>
      <w:pPr>
        <w:pStyle w:val="0"/>
        <w:numPr>
          <w:ilvl w:val="0"/>
          <w:numId w:val="97"/>
        </w:numPr>
        <w:autoSpaceDE w:val="0"/>
        <w:autoSpaceDN w:val="0"/>
        <w:adjustRightInd w:val="0"/>
        <w:spacing w:line="360" w:lineRule="exact"/>
        <w:jc w:val="left"/>
        <w:rPr>
          <w:rFonts w:hint="default"/>
          <w:spacing w:val="-4"/>
          <w:kern w:val="0"/>
        </w:rPr>
      </w:pPr>
      <w:r>
        <w:rPr>
          <w:rFonts w:hint="eastAsia"/>
          <w:color w:val="000000" w:themeColor="text1"/>
          <w:spacing w:val="-4"/>
          <w:kern w:val="0"/>
        </w:rPr>
        <w:t>大規模災害発生時に福祉避難所</w:t>
      </w:r>
      <w:r>
        <w:rPr>
          <w:rFonts w:hint="eastAsia"/>
          <w:spacing w:val="-4"/>
          <w:kern w:val="0"/>
          <w:vertAlign w:val="superscript"/>
        </w:rPr>
        <w:t>＊</w:t>
      </w:r>
      <w:r>
        <w:rPr>
          <w:rFonts w:hint="eastAsia"/>
          <w:color w:val="000000" w:themeColor="text1"/>
          <w:spacing w:val="-4"/>
          <w:kern w:val="0"/>
        </w:rPr>
        <w:t>等へ災害派遣福祉チーム（ＤＷＡＴ</w:t>
      </w:r>
      <w:r>
        <w:rPr>
          <w:rFonts w:hint="eastAsia"/>
          <w:spacing w:val="-4"/>
          <w:kern w:val="0"/>
        </w:rPr>
        <w:t>）</w:t>
      </w:r>
      <w:r>
        <w:rPr>
          <w:rFonts w:hint="eastAsia"/>
          <w:spacing w:val="-4"/>
          <w:kern w:val="0"/>
          <w:vertAlign w:val="superscript"/>
        </w:rPr>
        <w:t>＊</w:t>
      </w:r>
      <w:r>
        <w:rPr>
          <w:rFonts w:hint="eastAsia"/>
          <w:spacing w:val="-4"/>
          <w:kern w:val="0"/>
        </w:rPr>
        <w:t>を円滑に派遣し要配慮者</w:t>
      </w:r>
      <w:r>
        <w:rPr>
          <w:rFonts w:hint="eastAsia"/>
          <w:spacing w:val="-4"/>
          <w:kern w:val="0"/>
          <w:vertAlign w:val="superscript"/>
        </w:rPr>
        <w:t>＊</w:t>
      </w:r>
      <w:r>
        <w:rPr>
          <w:rFonts w:hint="eastAsia"/>
          <w:spacing w:val="-4"/>
          <w:kern w:val="0"/>
        </w:rPr>
        <w:t>の福祉課題に対応するため、人材養成などに当たる県内福祉関係団体等の取組（静岡県災害福祉広域支援ネットワーク）を支援します。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97"/>
        </w:numPr>
        <w:autoSpaceDE w:val="0"/>
        <w:autoSpaceDN w:val="0"/>
        <w:adjustRightInd w:val="0"/>
        <w:spacing w:line="360" w:lineRule="exact"/>
        <w:jc w:val="left"/>
        <w:rPr>
          <w:rFonts w:hint="default"/>
          <w:spacing w:val="-4"/>
          <w:kern w:val="0"/>
          <w:sz w:val="22"/>
        </w:rPr>
      </w:pPr>
      <w:r>
        <w:rPr>
          <w:rFonts w:hint="eastAsia"/>
          <w:spacing w:val="-4"/>
          <w:kern w:val="0"/>
        </w:rPr>
        <w:t>大規模災害の発生リスクが高まる中、被災地域において精神科医療機関の被災状況を確認し、適切な災害保健医療活動が行えるよう、災害派遣精神医療チーム（ＤＰＡＴ）</w:t>
      </w:r>
      <w:r>
        <w:rPr>
          <w:rFonts w:hint="eastAsia"/>
          <w:vertAlign w:val="superscript"/>
        </w:rPr>
        <w:t>＊</w:t>
      </w:r>
      <w:r>
        <w:rPr>
          <w:rFonts w:hint="eastAsia"/>
          <w:spacing w:val="-4"/>
          <w:kern w:val="0"/>
        </w:rPr>
        <w:t>の体制を強化します。また、研修会や訓練により人材育成の強化を推進します。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22"/>
        </w:rPr>
      </w:pPr>
    </w:p>
    <w:p>
      <w:pPr>
        <w:pStyle w:val="0"/>
        <w:numPr>
          <w:ilvl w:val="0"/>
          <w:numId w:val="97"/>
        </w:numPr>
        <w:autoSpaceDE w:val="0"/>
        <w:autoSpaceDN w:val="0"/>
        <w:adjustRightInd w:val="0"/>
        <w:spacing w:line="360" w:lineRule="exact"/>
        <w:jc w:val="left"/>
        <w:rPr>
          <w:rFonts w:hint="default"/>
          <w:color w:val="000000" w:themeColor="text1"/>
          <w:spacing w:val="-4"/>
          <w:kern w:val="0"/>
          <w:sz w:val="22"/>
        </w:rPr>
      </w:pPr>
      <w:r>
        <w:rPr>
          <w:rFonts w:hint="eastAsia"/>
          <w:spacing w:val="-4"/>
          <w:kern w:val="0"/>
        </w:rPr>
        <w:t>災害や事件・事故で心的外傷後ストレス障害（ＰＴＳＤ）</w:t>
      </w:r>
      <w:r>
        <w:rPr>
          <w:rFonts w:hint="eastAsia"/>
          <w:spacing w:val="-4"/>
          <w:kern w:val="0"/>
          <w:vertAlign w:val="superscript"/>
        </w:rPr>
        <w:t>＊</w:t>
      </w:r>
      <w:r>
        <w:rPr>
          <w:rFonts w:hint="eastAsia"/>
          <w:spacing w:val="-4"/>
          <w:kern w:val="0"/>
        </w:rPr>
        <w:t>等に陥った人に、早期に被災者・被害者のこころのケアに対応できる</w:t>
      </w:r>
      <w:r>
        <w:rPr>
          <w:rFonts w:hint="eastAsia"/>
          <w:color w:val="000000" w:themeColor="text1"/>
          <w:spacing w:val="-4"/>
          <w:kern w:val="0"/>
        </w:rPr>
        <w:t>よう、ＤＰＡＴの体制強化を図るとともに、県内の専門職団体等との地域連携体制を構築します。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spacing w:line="360" w:lineRule="exact"/>
        <w:ind w:firstLine="240" w:firstLineChars="100"/>
        <w:rPr>
          <w:rFonts w:hint="default" w:ascii="ＭＳ ゴシック" w:hAnsi="ＭＳ ゴシック" w:eastAsia="ＭＳ ゴシック"/>
          <w:color w:val="000000" w:themeColor="text1"/>
        </w:rPr>
      </w:pPr>
    </w:p>
    <w:p>
      <w:pPr>
        <w:pStyle w:val="0"/>
        <w:spacing w:line="360" w:lineRule="exact"/>
        <w:ind w:firstLine="240" w:firstLineChars="100"/>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イ　防災に関する広報・啓発や訓練の推進</w:t>
      </w:r>
    </w:p>
    <w:p>
      <w:pPr>
        <w:pStyle w:val="0"/>
        <w:numPr>
          <w:ilvl w:val="0"/>
          <w:numId w:val="98"/>
        </w:numPr>
        <w:autoSpaceDE w:val="0"/>
        <w:autoSpaceDN w:val="0"/>
        <w:adjustRightInd w:val="0"/>
        <w:spacing w:line="360" w:lineRule="exact"/>
        <w:jc w:val="left"/>
        <w:rPr>
          <w:rFonts w:hint="default"/>
          <w:spacing w:val="-4"/>
          <w:kern w:val="0"/>
          <w:sz w:val="16"/>
        </w:rPr>
      </w:pPr>
      <w:r>
        <w:rPr>
          <w:rFonts w:hint="eastAsia"/>
          <w:color w:val="000000" w:themeColor="text1"/>
          <w:kern w:val="0"/>
        </w:rPr>
        <w:t>防災に関する知識の普及を図るパンフレット等</w:t>
      </w:r>
      <w:r>
        <w:rPr>
          <w:rFonts w:hint="eastAsia"/>
          <w:kern w:val="0"/>
        </w:rPr>
        <w:t>に、障害のある人への支援方法に関する情報を盛り込んで住民に対する普及に努めるとともに、災害発生時には、関係団体と連携し、手話通訳者</w:t>
      </w:r>
      <w:r>
        <w:rPr>
          <w:rFonts w:hint="eastAsia"/>
          <w:spacing w:val="-4"/>
          <w:kern w:val="0"/>
          <w:vertAlign w:val="superscript"/>
        </w:rPr>
        <w:t>＊</w:t>
      </w:r>
      <w:r>
        <w:rPr>
          <w:rFonts w:hint="eastAsia"/>
          <w:kern w:val="0"/>
        </w:rPr>
        <w:t>や要約筆記者</w:t>
      </w:r>
      <w:r>
        <w:rPr>
          <w:rFonts w:hint="eastAsia"/>
          <w:spacing w:val="-4"/>
          <w:kern w:val="0"/>
          <w:vertAlign w:val="superscript"/>
        </w:rPr>
        <w:t>＊</w:t>
      </w:r>
      <w:r>
        <w:rPr>
          <w:rFonts w:hint="eastAsia"/>
          <w:kern w:val="0"/>
        </w:rPr>
        <w:t>の派遣等、必要な災害情報等の提供を行います。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 xml:space="preserve">] </w:t>
      </w:r>
      <w:r>
        <w:rPr>
          <w:rFonts w:hint="eastAsia"/>
          <w:spacing w:val="-4"/>
          <w:kern w:val="0"/>
          <w:sz w:val="16"/>
        </w:rPr>
        <w:t>、</w:t>
      </w:r>
      <w:r>
        <w:rPr>
          <w:rFonts w:hint="eastAsia"/>
          <w:spacing w:val="-4"/>
          <w:kern w:val="0"/>
          <w:sz w:val="16"/>
        </w:rPr>
        <w:t>[</w:t>
      </w:r>
      <w:r>
        <w:rPr>
          <w:rFonts w:hint="eastAsia"/>
          <w:spacing w:val="-4"/>
          <w:kern w:val="0"/>
          <w:sz w:val="16"/>
        </w:rPr>
        <w:t>危機管理部</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98"/>
        </w:numPr>
        <w:autoSpaceDE w:val="0"/>
        <w:autoSpaceDN w:val="0"/>
        <w:adjustRightInd w:val="0"/>
        <w:spacing w:line="360" w:lineRule="exact"/>
        <w:jc w:val="left"/>
        <w:rPr>
          <w:rFonts w:hint="default"/>
          <w:spacing w:val="-4"/>
          <w:kern w:val="0"/>
          <w:sz w:val="16"/>
        </w:rPr>
      </w:pPr>
      <w:r>
        <w:rPr>
          <w:rFonts w:hint="eastAsia"/>
          <w:kern w:val="0"/>
        </w:rPr>
        <w:t>障害のある人に地域の防災訓練等への参加を啓発し、災害発生時の対応力強化と防災意識の高揚を図ります。</w:t>
      </w:r>
      <w:r>
        <w:rPr>
          <w:rFonts w:hint="eastAsia"/>
          <w:spacing w:val="-4"/>
          <w:kern w:val="0"/>
          <w:sz w:val="16"/>
        </w:rPr>
        <w:t>[</w:t>
      </w:r>
      <w:r>
        <w:rPr>
          <w:rFonts w:hint="eastAsia"/>
          <w:spacing w:val="-4"/>
          <w:kern w:val="0"/>
          <w:sz w:val="16"/>
        </w:rPr>
        <w:t>危機管理部</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98"/>
        </w:numPr>
        <w:autoSpaceDE w:val="0"/>
        <w:autoSpaceDN w:val="0"/>
        <w:adjustRightInd w:val="0"/>
        <w:spacing w:line="360" w:lineRule="exact"/>
        <w:jc w:val="left"/>
        <w:rPr>
          <w:rFonts w:hint="default"/>
          <w:color w:val="000000" w:themeColor="text1"/>
          <w:spacing w:val="-4"/>
          <w:kern w:val="0"/>
          <w:sz w:val="16"/>
        </w:rPr>
      </w:pPr>
      <w:r>
        <w:rPr>
          <w:rFonts w:hint="eastAsia"/>
          <w:kern w:val="0"/>
        </w:rPr>
        <w:t>避難行動要支援者</w:t>
      </w:r>
      <w:r>
        <w:rPr>
          <w:rFonts w:hint="eastAsia"/>
          <w:spacing w:val="-4"/>
          <w:kern w:val="0"/>
          <w:vertAlign w:val="superscript"/>
        </w:rPr>
        <w:t>＊</w:t>
      </w:r>
      <w:r>
        <w:rPr>
          <w:rFonts w:hint="eastAsia"/>
          <w:kern w:val="0"/>
        </w:rPr>
        <w:t>に対する支援が充実するように</w:t>
      </w:r>
      <w:r>
        <w:rPr>
          <w:rFonts w:hint="eastAsia"/>
          <w:color w:val="000000" w:themeColor="text1"/>
        </w:rPr>
        <w:t>地域防災力強化人材育成研修を通じて</w:t>
      </w:r>
      <w:r>
        <w:rPr>
          <w:rFonts w:hint="eastAsia"/>
          <w:color w:val="000000" w:themeColor="text1"/>
          <w:kern w:val="0"/>
        </w:rPr>
        <w:t>地域で活動する防災リーダーやボランティア活動を調整できる人を養成します。</w:t>
      </w:r>
      <w:r>
        <w:rPr>
          <w:rFonts w:hint="eastAsia"/>
          <w:color w:val="000000" w:themeColor="text1"/>
          <w:spacing w:val="-4"/>
          <w:kern w:val="0"/>
          <w:sz w:val="16"/>
        </w:rPr>
        <w:t>[</w:t>
      </w:r>
      <w:r>
        <w:rPr>
          <w:rFonts w:hint="eastAsia"/>
          <w:color w:val="000000" w:themeColor="text1"/>
          <w:spacing w:val="-4"/>
          <w:kern w:val="0"/>
          <w:sz w:val="16"/>
        </w:rPr>
        <w:t>危機管理部</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spacing w:val="-4"/>
          <w:kern w:val="0"/>
          <w:sz w:val="16"/>
        </w:rPr>
      </w:pPr>
    </w:p>
    <w:p>
      <w:pPr>
        <w:pStyle w:val="0"/>
        <w:numPr>
          <w:ilvl w:val="0"/>
          <w:numId w:val="98"/>
        </w:numPr>
        <w:autoSpaceDE w:val="0"/>
        <w:autoSpaceDN w:val="0"/>
        <w:adjustRightInd w:val="0"/>
        <w:spacing w:line="360" w:lineRule="exact"/>
        <w:jc w:val="left"/>
        <w:rPr>
          <w:rFonts w:hint="default"/>
          <w:spacing w:val="-4"/>
          <w:kern w:val="0"/>
          <w:sz w:val="16"/>
        </w:rPr>
      </w:pPr>
      <w:r>
        <w:rPr>
          <w:rFonts w:hint="eastAsia"/>
          <w:color w:val="000000" w:themeColor="text1"/>
          <w:kern w:val="0"/>
        </w:rPr>
        <w:t>市町に対して、市町が策定する避難行動要支援者</w:t>
      </w:r>
      <w:r>
        <w:rPr>
          <w:rFonts w:hint="eastAsia"/>
          <w:spacing w:val="-4"/>
          <w:kern w:val="0"/>
          <w:vertAlign w:val="superscript"/>
        </w:rPr>
        <w:t>＊</w:t>
      </w:r>
      <w:r>
        <w:rPr>
          <w:rFonts w:hint="eastAsia"/>
          <w:color w:val="000000" w:themeColor="text1"/>
          <w:kern w:val="0"/>
        </w:rPr>
        <w:t>の個別避難計画の</w:t>
      </w:r>
      <w:r>
        <w:rPr>
          <w:rFonts w:hint="eastAsia"/>
          <w:kern w:val="0"/>
        </w:rPr>
        <w:t>実効性を高めるための避難訓練を実施するよう求め、避難行動要支援者の避難支援を適切に行います。</w:t>
      </w:r>
      <w:r>
        <w:rPr>
          <w:rFonts w:hint="eastAsia"/>
          <w:spacing w:val="-4"/>
          <w:kern w:val="0"/>
          <w:sz w:val="16"/>
        </w:rPr>
        <w:t>[</w:t>
      </w:r>
      <w:r>
        <w:rPr>
          <w:rFonts w:hint="eastAsia"/>
          <w:spacing w:val="-4"/>
          <w:kern w:val="0"/>
          <w:sz w:val="16"/>
        </w:rPr>
        <w:t>健康福祉部政策管理局</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rPr>
          <w:rFonts w:hint="default"/>
        </w:rPr>
      </w:pPr>
      <w:r>
        <w:rPr>
          <w:rFonts w:hint="eastAsia" w:ascii="ＭＳ ゴシック" w:hAnsi="ＭＳ ゴシック" w:eastAsia="ＭＳ ゴシック"/>
        </w:rPr>
        <w:t>【数値目標】</w:t>
      </w:r>
    </w:p>
    <w:tbl>
      <w:tblPr>
        <w:tblStyle w:val="11"/>
        <w:tblW w:w="9687"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38"/>
        <w:gridCol w:w="4871"/>
        <w:gridCol w:w="2189"/>
        <w:gridCol w:w="2189"/>
      </w:tblGrid>
      <w:tr>
        <w:trPr>
          <w:trHeight w:val="206"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rPr>
            </w:pPr>
            <w:r>
              <w:rPr>
                <w:rFonts w:hint="eastAsia"/>
              </w:rPr>
              <w:t>現状値</w:t>
            </w:r>
          </w:p>
        </w:tc>
        <w:tc>
          <w:tcPr>
            <w:tcW w:w="2189" w:type="dxa"/>
            <w:vAlign w:val="center"/>
          </w:tcPr>
          <w:p>
            <w:pPr>
              <w:pStyle w:val="0"/>
              <w:spacing w:line="360" w:lineRule="exact"/>
              <w:jc w:val="center"/>
              <w:rPr>
                <w:rFonts w:hint="default"/>
              </w:rPr>
            </w:pPr>
            <w:r>
              <w:rPr>
                <w:rFonts w:hint="eastAsia"/>
              </w:rPr>
              <w:t>目標値</w:t>
            </w:r>
          </w:p>
        </w:tc>
      </w:tr>
      <w:tr>
        <w:trPr>
          <w:trHeight w:val="295"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地域防災力強化人材育成研修修了者数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2017</w:t>
            </w:r>
            <w:r>
              <w:rPr>
                <w:rFonts w:hint="eastAsia"/>
                <w:color w:val="000000" w:themeColor="text1"/>
              </w:rPr>
              <w:t>～</w:t>
            </w:r>
            <w:r>
              <w:rPr>
                <w:rFonts w:hint="eastAsia"/>
                <w:color w:val="000000" w:themeColor="text1"/>
              </w:rPr>
              <w:t>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24,276</w:t>
            </w:r>
            <w:r>
              <w:rPr>
                <w:rFonts w:hint="eastAsia"/>
                <w:color w:val="000000" w:themeColor="text1"/>
              </w:rPr>
              <w:t>人</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2022</w:t>
            </w:r>
            <w:r>
              <w:rPr>
                <w:rFonts w:hint="eastAsia"/>
                <w:color w:val="000000" w:themeColor="text1"/>
              </w:rPr>
              <w:t>～</w:t>
            </w:r>
            <w:r>
              <w:rPr>
                <w:rFonts w:hint="eastAsia"/>
                <w:color w:val="000000" w:themeColor="text1"/>
              </w:rPr>
              <w:t>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26,600</w:t>
            </w:r>
            <w:r>
              <w:rPr>
                <w:rFonts w:hint="eastAsia"/>
                <w:color w:val="000000" w:themeColor="text1"/>
              </w:rPr>
              <w:t>人</w:t>
            </w:r>
          </w:p>
        </w:tc>
      </w:tr>
    </w:tbl>
    <w:p>
      <w:pPr>
        <w:pStyle w:val="0"/>
        <w:rPr>
          <w:rFonts w:hint="default" w:ascii="ＭＳ ゴシック" w:hAnsi="ＭＳ ゴシック" w:eastAsia="ＭＳ ゴシック"/>
        </w:rPr>
      </w:pPr>
      <w:bookmarkStart w:id="128" w:name="_Toc503474090"/>
      <w:r>
        <w:rPr>
          <w:rFonts w:hint="eastAsia" w:ascii="ＭＳ ゴシック" w:hAnsi="ＭＳ ゴシック" w:eastAsia="ＭＳ ゴシック"/>
        </w:rPr>
        <w:t>（４）防犯対策の推進</w:t>
      </w:r>
      <w:bookmarkEnd w:id="128"/>
    </w:p>
    <w:p>
      <w:pPr>
        <w:pStyle w:val="0"/>
        <w:rPr>
          <w:rFonts w:hint="default"/>
        </w:rPr>
      </w:pPr>
      <w:r>
        <w:rPr>
          <w:rFonts w:hint="eastAsia" w:ascii="ＭＳ ゴシック" w:hAnsi="ＭＳ ゴシック" w:eastAsia="ＭＳ ゴシック"/>
        </w:rPr>
        <w:t>【現状と課題】</w:t>
      </w:r>
    </w:p>
    <w:p>
      <w:pPr>
        <w:pStyle w:val="0"/>
        <w:numPr>
          <w:ilvl w:val="0"/>
          <w:numId w:val="99"/>
        </w:numPr>
        <w:autoSpaceDE w:val="0"/>
        <w:autoSpaceDN w:val="0"/>
        <w:adjustRightInd w:val="0"/>
        <w:spacing w:line="360" w:lineRule="exact"/>
        <w:jc w:val="left"/>
        <w:rPr>
          <w:rFonts w:hint="default"/>
        </w:rPr>
      </w:pPr>
      <w:r>
        <w:rPr>
          <w:rFonts w:hint="eastAsia"/>
          <w:kern w:val="0"/>
        </w:rPr>
        <w:t>「障害のある方の実態調査」（</w:t>
      </w:r>
      <w:r>
        <w:rPr>
          <w:rFonts w:hint="eastAsia"/>
          <w:kern w:val="0"/>
        </w:rPr>
        <w:t>2020</w:t>
      </w:r>
      <w:r>
        <w:rPr>
          <w:rFonts w:hint="eastAsia"/>
          <w:kern w:val="0"/>
        </w:rPr>
        <w:t>年度）によると、障害のある人の</w:t>
      </w:r>
      <w:r>
        <w:rPr>
          <w:rFonts w:hint="eastAsia"/>
          <w:color w:val="000000" w:themeColor="text1"/>
          <w:kern w:val="0"/>
        </w:rPr>
        <w:t>68.4</w:t>
      </w:r>
      <w:r>
        <w:rPr>
          <w:rFonts w:hint="eastAsia"/>
          <w:color w:val="000000" w:themeColor="text1"/>
          <w:kern w:val="0"/>
        </w:rPr>
        <w:t>％</w:t>
      </w:r>
      <w:r>
        <w:rPr>
          <w:rFonts w:hint="eastAsia"/>
          <w:kern w:val="0"/>
        </w:rPr>
        <w:t>が「自分の住んでいる街が障害のある人にとって安心して暮らせるところだと思う」又は「ある程度安心して暮らせるところだと思う」と回答しています。</w:t>
      </w:r>
    </w:p>
    <w:p>
      <w:pPr>
        <w:pStyle w:val="0"/>
        <w:autoSpaceDE w:val="0"/>
        <w:autoSpaceDN w:val="0"/>
        <w:adjustRightInd w:val="0"/>
        <w:spacing w:line="360" w:lineRule="exact"/>
        <w:ind w:left="576"/>
        <w:jc w:val="left"/>
        <w:rPr>
          <w:rFonts w:hint="default"/>
        </w:rPr>
      </w:pPr>
    </w:p>
    <w:p>
      <w:pPr>
        <w:pStyle w:val="0"/>
        <w:numPr>
          <w:ilvl w:val="0"/>
          <w:numId w:val="95"/>
        </w:numPr>
        <w:autoSpaceDE w:val="0"/>
        <w:autoSpaceDN w:val="0"/>
        <w:adjustRightInd w:val="0"/>
        <w:spacing w:line="360" w:lineRule="exact"/>
        <w:jc w:val="left"/>
        <w:rPr>
          <w:rFonts w:hint="default"/>
          <w:kern w:val="0"/>
        </w:rPr>
      </w:pPr>
      <w:r>
        <w:rPr>
          <w:rFonts w:hint="eastAsia"/>
          <w:kern w:val="0"/>
        </w:rPr>
        <w:t>障害のある人は、警察への通報や相談にも困難を伴う場合もあることから、障害に配慮した通報手段を確保する必要があります。</w:t>
      </w:r>
    </w:p>
    <w:p>
      <w:pPr>
        <w:pStyle w:val="0"/>
        <w:autoSpaceDE w:val="0"/>
        <w:autoSpaceDN w:val="0"/>
        <w:adjustRightInd w:val="0"/>
        <w:spacing w:line="360" w:lineRule="exact"/>
        <w:ind w:left="576"/>
        <w:jc w:val="left"/>
        <w:rPr>
          <w:rFonts w:hint="default"/>
          <w:kern w:val="0"/>
        </w:rPr>
      </w:pPr>
    </w:p>
    <w:p>
      <w:pPr>
        <w:pStyle w:val="0"/>
        <w:numPr>
          <w:ilvl w:val="0"/>
          <w:numId w:val="95"/>
        </w:numPr>
        <w:autoSpaceDE w:val="0"/>
        <w:autoSpaceDN w:val="0"/>
        <w:adjustRightInd w:val="0"/>
        <w:spacing w:line="360" w:lineRule="exact"/>
        <w:jc w:val="left"/>
        <w:rPr>
          <w:rFonts w:hint="default"/>
        </w:rPr>
      </w:pPr>
      <w:r>
        <w:rPr>
          <w:rFonts w:hint="eastAsia"/>
          <w:kern w:val="0"/>
        </w:rPr>
        <w:t>不審者情報や犯罪発生情報等を容易に入手できるよう、情報提供に当たっては、視覚や聴覚に障害のある人などへの配慮が必要です。</w:t>
      </w:r>
    </w:p>
    <w:p>
      <w:pPr>
        <w:pStyle w:val="0"/>
        <w:autoSpaceDE w:val="0"/>
        <w:autoSpaceDN w:val="0"/>
        <w:adjustRightInd w:val="0"/>
        <w:spacing w:line="360" w:lineRule="exact"/>
        <w:ind w:left="576"/>
        <w:jc w:val="left"/>
        <w:rPr>
          <w:rFonts w:hint="default"/>
        </w:rPr>
      </w:pPr>
    </w:p>
    <w:p>
      <w:pPr>
        <w:pStyle w:val="0"/>
        <w:numPr>
          <w:ilvl w:val="0"/>
          <w:numId w:val="95"/>
        </w:numPr>
        <w:autoSpaceDE w:val="0"/>
        <w:autoSpaceDN w:val="0"/>
        <w:adjustRightInd w:val="0"/>
        <w:spacing w:line="360" w:lineRule="exact"/>
        <w:jc w:val="left"/>
        <w:rPr>
          <w:rFonts w:hint="default"/>
        </w:rPr>
      </w:pPr>
      <w:r>
        <w:rPr>
          <w:rFonts w:hint="eastAsia"/>
          <w:kern w:val="0"/>
        </w:rPr>
        <w:t>県民の防犯意識を高めて、自らが自分の「まち」を守る意識を醸成し、地域住民や事業者による防犯活動を活性化させて「防犯まちづくり」の取組を推進する必要があります。</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【県の取組】</w:t>
      </w: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ア　緊急時の通報手段の確保</w:t>
      </w:r>
    </w:p>
    <w:p>
      <w:pPr>
        <w:pStyle w:val="0"/>
        <w:numPr>
          <w:ilvl w:val="0"/>
          <w:numId w:val="100"/>
        </w:numPr>
        <w:autoSpaceDE w:val="0"/>
        <w:autoSpaceDN w:val="0"/>
        <w:adjustRightInd w:val="0"/>
        <w:spacing w:line="360" w:lineRule="exact"/>
        <w:jc w:val="left"/>
        <w:rPr>
          <w:rFonts w:hint="default"/>
          <w:spacing w:val="-4"/>
          <w:kern w:val="0"/>
          <w:sz w:val="16"/>
        </w:rPr>
      </w:pPr>
      <w:r>
        <w:rPr>
          <w:rFonts w:hint="eastAsia"/>
          <w:kern w:val="0"/>
        </w:rPr>
        <w:t>聴覚や言語に障害のある人が</w:t>
      </w:r>
      <w:r>
        <w:rPr>
          <w:rFonts w:hint="eastAsia"/>
          <w:color w:val="000000" w:themeColor="text1"/>
          <w:kern w:val="0"/>
        </w:rPr>
        <w:t>緊急時に利用できるよう、電話リレーサービスの手話通訳オペレータを介した通報や携帯電話・スマートフォン専用アプリを利用した通報、Ｅメール、ファクシミリからの通報等、</w:t>
      </w:r>
      <w:r>
        <w:rPr>
          <w:rFonts w:hint="eastAsia"/>
          <w:kern w:val="0"/>
        </w:rPr>
        <w:t>緊急通報手段を確保します。</w:t>
      </w:r>
      <w:r>
        <w:rPr>
          <w:rFonts w:hint="eastAsia"/>
          <w:spacing w:val="-4"/>
          <w:kern w:val="0"/>
          <w:sz w:val="16"/>
        </w:rPr>
        <w:t>[</w:t>
      </w:r>
      <w:r>
        <w:rPr>
          <w:rFonts w:hint="eastAsia"/>
          <w:spacing w:val="-4"/>
          <w:kern w:val="0"/>
          <w:sz w:val="16"/>
        </w:rPr>
        <w:t>警察本部</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イ　自主的防犯活動の促進・支援</w:t>
      </w:r>
    </w:p>
    <w:p>
      <w:pPr>
        <w:pStyle w:val="0"/>
        <w:numPr>
          <w:ilvl w:val="0"/>
          <w:numId w:val="101"/>
        </w:numPr>
        <w:autoSpaceDE w:val="0"/>
        <w:autoSpaceDN w:val="0"/>
        <w:adjustRightInd w:val="0"/>
        <w:spacing w:line="360" w:lineRule="exact"/>
        <w:jc w:val="left"/>
        <w:rPr>
          <w:rFonts w:hint="default"/>
          <w:kern w:val="0"/>
        </w:rPr>
      </w:pPr>
      <w:r>
        <w:rPr>
          <w:rFonts w:hint="eastAsia"/>
          <w:kern w:val="0"/>
        </w:rPr>
        <w:t>犯罪の発生状況、効果的な防犯対策等の情報をインターネット等の多様な媒体を活用して広報・啓発することにより、県民の防犯意識を高めます。また、情報提供に当たっては、視覚や聴覚に障害のある人などへの配慮に努めます。</w:t>
      </w:r>
      <w:r>
        <w:rPr>
          <w:rFonts w:hint="eastAsia"/>
          <w:spacing w:val="-4"/>
          <w:kern w:val="0"/>
          <w:sz w:val="16"/>
        </w:rPr>
        <w:t>[</w:t>
      </w:r>
      <w:r>
        <w:rPr>
          <w:rFonts w:hint="eastAsia"/>
          <w:spacing w:val="-4"/>
          <w:kern w:val="0"/>
          <w:sz w:val="16"/>
        </w:rPr>
        <w:t>警察本部</w:t>
      </w:r>
      <w:r>
        <w:rPr>
          <w:rFonts w:hint="eastAsia"/>
          <w:spacing w:val="-4"/>
          <w:kern w:val="0"/>
          <w:sz w:val="16"/>
        </w:rPr>
        <w:t>]</w:t>
      </w:r>
    </w:p>
    <w:p>
      <w:pPr>
        <w:pStyle w:val="0"/>
        <w:autoSpaceDE w:val="0"/>
        <w:autoSpaceDN w:val="0"/>
        <w:adjustRightInd w:val="0"/>
        <w:spacing w:line="360" w:lineRule="exact"/>
        <w:ind w:left="868"/>
        <w:jc w:val="left"/>
        <w:rPr>
          <w:rFonts w:hint="default"/>
          <w:kern w:val="0"/>
        </w:rPr>
      </w:pPr>
    </w:p>
    <w:p>
      <w:pPr>
        <w:pStyle w:val="0"/>
        <w:numPr>
          <w:ilvl w:val="0"/>
          <w:numId w:val="101"/>
        </w:numPr>
        <w:autoSpaceDE w:val="0"/>
        <w:autoSpaceDN w:val="0"/>
        <w:adjustRightInd w:val="0"/>
        <w:spacing w:line="360" w:lineRule="exact"/>
        <w:jc w:val="left"/>
        <w:rPr>
          <w:rFonts w:hint="default"/>
        </w:rPr>
      </w:pPr>
      <w:r>
        <w:rPr>
          <w:rFonts w:hint="eastAsia"/>
          <w:kern w:val="0"/>
        </w:rPr>
        <w:t>地域ぐるみの自主的防犯活動のリーダーとなる人材を育成することにより、地域の防犯まちづくり活動の推進を図ります。</w:t>
      </w:r>
      <w:r>
        <w:rPr>
          <w:rFonts w:hint="eastAsia"/>
          <w:spacing w:val="-4"/>
          <w:kern w:val="0"/>
          <w:sz w:val="16"/>
        </w:rPr>
        <w:t>[</w:t>
      </w:r>
      <w:r>
        <w:rPr>
          <w:rFonts w:hint="eastAsia"/>
          <w:spacing w:val="-4"/>
          <w:kern w:val="0"/>
          <w:sz w:val="16"/>
        </w:rPr>
        <w:t>くらし・環境部県民生活局</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numPr>
          <w:ilvl w:val="0"/>
          <w:numId w:val="101"/>
        </w:numPr>
        <w:autoSpaceDE w:val="0"/>
        <w:autoSpaceDN w:val="0"/>
        <w:adjustRightInd w:val="0"/>
        <w:spacing w:line="360" w:lineRule="exact"/>
        <w:jc w:val="left"/>
        <w:rPr>
          <w:rFonts w:hint="default"/>
          <w:kern w:val="0"/>
        </w:rPr>
      </w:pPr>
      <w:r>
        <w:rPr>
          <w:rFonts w:hint="eastAsia"/>
          <w:kern w:val="0"/>
        </w:rPr>
        <w:t>県防犯まちづくり条例に基づく指針を踏まえ、道路、公園、駐車場、駐輪場、住宅について、犯罪の防止に配慮した構造・設備等の普及を図ります。</w:t>
      </w:r>
      <w:r>
        <w:rPr>
          <w:rFonts w:hint="eastAsia"/>
          <w:spacing w:val="-4"/>
          <w:kern w:val="0"/>
          <w:sz w:val="16"/>
        </w:rPr>
        <w:t>[</w:t>
      </w:r>
      <w:r>
        <w:rPr>
          <w:rFonts w:hint="eastAsia"/>
          <w:spacing w:val="-4"/>
          <w:kern w:val="0"/>
          <w:sz w:val="16"/>
        </w:rPr>
        <w:t>くらし・環境部県民生活局</w:t>
      </w:r>
      <w:r>
        <w:rPr>
          <w:rFonts w:hint="eastAsia"/>
          <w:spacing w:val="-4"/>
          <w:kern w:val="0"/>
          <w:sz w:val="16"/>
        </w:rPr>
        <w:t>]</w:t>
      </w:r>
    </w:p>
    <w:p>
      <w:pPr>
        <w:pStyle w:val="0"/>
        <w:autoSpaceDE w:val="0"/>
        <w:autoSpaceDN w:val="0"/>
        <w:adjustRightInd w:val="0"/>
        <w:spacing w:line="360" w:lineRule="exact"/>
        <w:ind w:left="868"/>
        <w:jc w:val="left"/>
        <w:rPr>
          <w:rFonts w:hint="default"/>
          <w:kern w:val="0"/>
        </w:rPr>
      </w:pPr>
    </w:p>
    <w:p>
      <w:pPr>
        <w:pStyle w:val="0"/>
        <w:numPr>
          <w:ilvl w:val="0"/>
          <w:numId w:val="101"/>
        </w:numPr>
        <w:autoSpaceDE w:val="0"/>
        <w:autoSpaceDN w:val="0"/>
        <w:adjustRightInd w:val="0"/>
        <w:spacing w:line="360" w:lineRule="exact"/>
        <w:jc w:val="left"/>
        <w:rPr>
          <w:rFonts w:hint="default"/>
        </w:rPr>
      </w:pPr>
      <w:r>
        <w:rPr>
          <w:rFonts w:hint="eastAsia"/>
          <w:kern w:val="0"/>
        </w:rPr>
        <w:t>地域、警察、行政等の連携による啓発、パトロール、家庭訪問など様々な活動を実施して、障害のある人、子ども、女性、高齢者等社会的弱者の安全確保を図ります。</w:t>
      </w:r>
      <w:r>
        <w:rPr>
          <w:rFonts w:hint="eastAsia"/>
          <w:spacing w:val="-4"/>
          <w:kern w:val="0"/>
          <w:sz w:val="16"/>
        </w:rPr>
        <w:t>[</w:t>
      </w:r>
      <w:r>
        <w:rPr>
          <w:rFonts w:hint="eastAsia"/>
          <w:spacing w:val="-4"/>
          <w:kern w:val="0"/>
          <w:sz w:val="16"/>
        </w:rPr>
        <w:t>くらし・環境部県民生活局</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autoSpaceDE w:val="0"/>
        <w:autoSpaceDN w:val="0"/>
        <w:adjustRightInd w:val="0"/>
        <w:spacing w:line="360" w:lineRule="exact"/>
        <w:ind w:left="868"/>
        <w:jc w:val="left"/>
        <w:rPr>
          <w:rFonts w:hint="default"/>
        </w:rPr>
      </w:pPr>
    </w:p>
    <w:p>
      <w:pPr>
        <w:pStyle w:val="0"/>
        <w:autoSpaceDE w:val="0"/>
        <w:autoSpaceDN w:val="0"/>
        <w:adjustRightInd w:val="0"/>
        <w:spacing w:line="360" w:lineRule="exact"/>
        <w:ind w:left="492" w:leftChars="105" w:hanging="240" w:hangingChars="100"/>
        <w:jc w:val="left"/>
        <w:rPr>
          <w:rFonts w:hint="default" w:ascii="ＭＳ ゴシック" w:hAnsi="ＭＳ ゴシック" w:eastAsia="ＭＳ ゴシック"/>
        </w:rPr>
      </w:pPr>
      <w:r>
        <w:rPr>
          <w:rFonts w:hint="eastAsia" w:ascii="ＭＳ ゴシック" w:hAnsi="ＭＳ ゴシック" w:eastAsia="ＭＳ ゴシック"/>
        </w:rPr>
        <w:t>ウ　</w:t>
      </w:r>
      <w:r>
        <w:rPr>
          <w:rFonts w:hint="eastAsia" w:ascii="ＭＳ ゴシック" w:hAnsi="ＭＳ ゴシック" w:eastAsia="ＭＳ ゴシック"/>
          <w:kern w:val="0"/>
        </w:rPr>
        <w:t>犯罪被害防止活動の推進</w:t>
      </w:r>
    </w:p>
    <w:p>
      <w:pPr>
        <w:pStyle w:val="0"/>
        <w:numPr>
          <w:ilvl w:val="0"/>
          <w:numId w:val="102"/>
        </w:numPr>
        <w:autoSpaceDE w:val="0"/>
        <w:autoSpaceDN w:val="0"/>
        <w:adjustRightInd w:val="0"/>
        <w:spacing w:line="360" w:lineRule="exact"/>
        <w:jc w:val="left"/>
        <w:rPr>
          <w:rFonts w:hint="default"/>
          <w:spacing w:val="-4"/>
          <w:kern w:val="0"/>
        </w:rPr>
      </w:pPr>
      <w:r>
        <w:rPr>
          <w:rFonts w:hint="eastAsia"/>
          <w:color w:val="000000" w:themeColor="text1"/>
          <w:kern w:val="0"/>
        </w:rPr>
        <w:t>住民に身近な犯罪の発生を抑制するため、住民の要望や犯罪発生状況の分析結果に基づき、</w:t>
      </w:r>
      <w:r>
        <w:rPr>
          <w:rFonts w:hint="eastAsia"/>
          <w:kern w:val="0"/>
        </w:rPr>
        <w:t>警察官による実態に即したパトロールの実施などの警察活動を推進します。</w:t>
      </w:r>
      <w:r>
        <w:rPr>
          <w:rFonts w:hint="eastAsia"/>
          <w:spacing w:val="-4"/>
          <w:kern w:val="0"/>
          <w:sz w:val="16"/>
        </w:rPr>
        <w:t>[</w:t>
      </w:r>
      <w:r>
        <w:rPr>
          <w:rFonts w:hint="eastAsia"/>
          <w:spacing w:val="-4"/>
          <w:kern w:val="0"/>
          <w:sz w:val="16"/>
        </w:rPr>
        <w:t>警察本部</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102"/>
        </w:numPr>
        <w:autoSpaceDE w:val="0"/>
        <w:autoSpaceDN w:val="0"/>
        <w:adjustRightInd w:val="0"/>
        <w:spacing w:line="360" w:lineRule="exact"/>
        <w:jc w:val="left"/>
        <w:rPr>
          <w:rFonts w:hint="default"/>
          <w:spacing w:val="-4"/>
          <w:kern w:val="0"/>
        </w:rPr>
      </w:pPr>
      <w:r>
        <w:rPr>
          <w:rFonts w:hint="eastAsia"/>
          <w:kern w:val="0"/>
        </w:rPr>
        <w:t>学校等と連携した非行防止活動や街頭における少年補導等、少年非行防止・保護総合対策を推進します。</w:t>
      </w:r>
      <w:r>
        <w:rPr>
          <w:rFonts w:hint="eastAsia"/>
          <w:spacing w:val="-4"/>
          <w:kern w:val="0"/>
          <w:sz w:val="16"/>
        </w:rPr>
        <w:t>[</w:t>
      </w:r>
      <w:r>
        <w:rPr>
          <w:rFonts w:hint="eastAsia"/>
          <w:spacing w:val="-4"/>
          <w:kern w:val="0"/>
          <w:sz w:val="16"/>
        </w:rPr>
        <w:t>警察本部</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autoSpaceDE w:val="0"/>
        <w:autoSpaceDN w:val="0"/>
        <w:adjustRightInd w:val="0"/>
        <w:spacing w:line="360" w:lineRule="exact"/>
        <w:ind w:left="492" w:leftChars="105" w:hanging="240" w:hangingChars="100"/>
        <w:jc w:val="left"/>
        <w:rPr>
          <w:rFonts w:hint="default" w:ascii="ＭＳ ゴシック" w:hAnsi="ＭＳ ゴシック" w:eastAsia="ＭＳ ゴシック"/>
        </w:rPr>
      </w:pPr>
      <w:r>
        <w:rPr>
          <w:rFonts w:hint="eastAsia" w:ascii="ＭＳ ゴシック" w:hAnsi="ＭＳ ゴシック" w:eastAsia="ＭＳ ゴシック"/>
          <w:kern w:val="0"/>
        </w:rPr>
        <w:t>エ　犯罪被害者等に対する支援体制の確立</w:t>
      </w:r>
    </w:p>
    <w:p>
      <w:pPr>
        <w:pStyle w:val="0"/>
        <w:numPr>
          <w:ilvl w:val="0"/>
          <w:numId w:val="103"/>
        </w:numPr>
        <w:autoSpaceDE w:val="0"/>
        <w:autoSpaceDN w:val="0"/>
        <w:adjustRightInd w:val="0"/>
        <w:spacing w:line="360" w:lineRule="exact"/>
        <w:jc w:val="left"/>
        <w:rPr>
          <w:rFonts w:hint="default"/>
          <w:spacing w:val="-4"/>
          <w:kern w:val="0"/>
          <w:sz w:val="16"/>
        </w:rPr>
      </w:pPr>
      <w:r>
        <w:rPr>
          <w:rFonts w:hint="eastAsia"/>
          <w:kern w:val="0"/>
        </w:rPr>
        <w:t>犯罪被害者等が被害を受けたときから再び平穏な生活を営むことができるようになるまで、必要な支援を途切れることなく受けることができるように関係機関の連携・協力体制を確立し、支援の充実を図ります。</w:t>
      </w:r>
      <w:r>
        <w:rPr>
          <w:rFonts w:hint="eastAsia"/>
          <w:spacing w:val="-4"/>
          <w:kern w:val="0"/>
          <w:sz w:val="16"/>
        </w:rPr>
        <w:t>[</w:t>
      </w:r>
      <w:r>
        <w:rPr>
          <w:rFonts w:hint="eastAsia"/>
          <w:spacing w:val="-4"/>
          <w:kern w:val="0"/>
          <w:sz w:val="16"/>
        </w:rPr>
        <w:t>くらし・環境部県民生活局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pacing w:val="-4"/>
          <w:kern w:val="0"/>
          <w:sz w:val="16"/>
        </w:rPr>
        <w:t>警察本部</w:t>
      </w:r>
      <w:r>
        <w:rPr>
          <w:rFonts w:hint="eastAsia"/>
          <w:spacing w:val="-4"/>
          <w:kern w:val="0"/>
          <w:sz w:val="16"/>
        </w:rPr>
        <w:t>]</w:t>
      </w:r>
    </w:p>
    <w:p>
      <w:pPr>
        <w:pStyle w:val="0"/>
        <w:outlineLvl w:val="2"/>
        <w:rPr>
          <w:rFonts w:hint="default" w:ascii="ＭＳ ゴシック" w:hAnsi="ＭＳ ゴシック" w:eastAsia="ＭＳ ゴシック"/>
        </w:rPr>
      </w:pPr>
    </w:p>
    <w:p>
      <w:pPr>
        <w:pStyle w:val="0"/>
        <w:outlineLvl w:val="2"/>
        <w:rPr>
          <w:rFonts w:hint="default" w:ascii="ＭＳ ゴシック" w:hAnsi="ＭＳ ゴシック" w:eastAsia="ＭＳ ゴシック"/>
        </w:rPr>
      </w:pPr>
      <w:bookmarkStart w:id="129" w:name="_Toc503474091"/>
      <w:r>
        <w:rPr>
          <w:rFonts w:hint="eastAsia" w:ascii="ＭＳ ゴシック" w:hAnsi="ＭＳ ゴシック" w:eastAsia="ＭＳ ゴシック"/>
        </w:rPr>
        <w:t>（５）交通安全対策の推進</w:t>
      </w:r>
      <w:bookmarkEnd w:id="129"/>
    </w:p>
    <w:p>
      <w:pPr>
        <w:pStyle w:val="0"/>
        <w:rPr>
          <w:rFonts w:hint="default"/>
        </w:rPr>
      </w:pPr>
      <w:r>
        <w:rPr>
          <w:rFonts w:hint="eastAsia" w:ascii="ＭＳ ゴシック" w:hAnsi="ＭＳ ゴシック" w:eastAsia="ＭＳ ゴシック"/>
        </w:rPr>
        <w:t>【現状と課題】</w:t>
      </w:r>
    </w:p>
    <w:p>
      <w:pPr>
        <w:pStyle w:val="0"/>
        <w:numPr>
          <w:ilvl w:val="0"/>
          <w:numId w:val="104"/>
        </w:numPr>
        <w:autoSpaceDE w:val="0"/>
        <w:autoSpaceDN w:val="0"/>
        <w:adjustRightInd w:val="0"/>
        <w:spacing w:line="360" w:lineRule="exact"/>
        <w:jc w:val="left"/>
        <w:rPr>
          <w:rFonts w:hint="default"/>
          <w:color w:val="000000" w:themeColor="text1"/>
        </w:rPr>
      </w:pPr>
      <w:r>
        <w:rPr>
          <w:rFonts w:hint="eastAsia"/>
          <w:color w:val="000000" w:themeColor="text1"/>
          <w:kern w:val="0"/>
        </w:rPr>
        <w:t>2020</w:t>
      </w:r>
      <w:r>
        <w:rPr>
          <w:rFonts w:hint="eastAsia"/>
          <w:color w:val="000000" w:themeColor="text1"/>
          <w:kern w:val="0"/>
        </w:rPr>
        <w:t>年中の県内の交通事故による死傷者数は２万６千人を超えています。交通事故発生件数は減少傾向にありますが、交通事故のない社会を目指して、交通事故防止対策を推進する必要があります。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95"/>
        </w:numPr>
        <w:autoSpaceDE w:val="0"/>
        <w:autoSpaceDN w:val="0"/>
        <w:adjustRightInd w:val="0"/>
        <w:spacing w:line="360" w:lineRule="exact"/>
        <w:jc w:val="left"/>
        <w:rPr>
          <w:rFonts w:hint="default"/>
          <w:color w:val="000000" w:themeColor="text1"/>
          <w:kern w:val="0"/>
        </w:rPr>
      </w:pPr>
      <w:r>
        <w:rPr>
          <w:rFonts w:hint="eastAsia"/>
          <w:color w:val="000000" w:themeColor="text1"/>
          <w:kern w:val="0"/>
        </w:rPr>
        <w:t>障害のある人を含む交通弱者の安全に向けて、人に優しい交通環境を確保するとともに、県民一人一人の交通安全意識を啓発するなど、総合的な交通事故防止対策を推進していくことが重要です。</w:t>
      </w:r>
    </w:p>
    <w:p>
      <w:pPr>
        <w:pStyle w:val="0"/>
        <w:rPr>
          <w:rFonts w:hint="default"/>
          <w:color w:val="000000" w:themeColor="text1"/>
        </w:rPr>
      </w:pPr>
    </w:p>
    <w:p>
      <w:pPr>
        <w:pStyle w:val="0"/>
        <w:rPr>
          <w:rFonts w:hint="default"/>
          <w:color w:val="000000" w:themeColor="text1"/>
        </w:rPr>
      </w:pPr>
      <w:r>
        <w:rPr>
          <w:rFonts w:hint="eastAsia" w:ascii="ＭＳ ゴシック" w:hAnsi="ＭＳ ゴシック" w:eastAsia="ＭＳ ゴシック"/>
          <w:color w:val="000000" w:themeColor="text1"/>
        </w:rPr>
        <w:t>【県の取組】</w:t>
      </w:r>
    </w:p>
    <w:p>
      <w:pPr>
        <w:pStyle w:val="0"/>
        <w:adjustRightInd w:val="0"/>
        <w:spacing w:line="360" w:lineRule="exact"/>
        <w:ind w:firstLine="240" w:firstLineChars="100"/>
        <w:jc w:val="left"/>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ア　</w:t>
      </w:r>
      <w:r>
        <w:rPr>
          <w:rFonts w:hint="eastAsia" w:ascii="ＭＳ ゴシック" w:hAnsi="ＭＳ ゴシック" w:eastAsia="ＭＳ ゴシック"/>
          <w:color w:val="000000" w:themeColor="text1"/>
          <w:kern w:val="0"/>
        </w:rPr>
        <w:t>障害のある人等の安全に資する歩行空間等の整備</w:t>
      </w:r>
    </w:p>
    <w:p>
      <w:pPr>
        <w:pStyle w:val="0"/>
        <w:numPr>
          <w:ilvl w:val="0"/>
          <w:numId w:val="105"/>
        </w:numPr>
        <w:autoSpaceDE w:val="0"/>
        <w:autoSpaceDN w:val="0"/>
        <w:adjustRightInd w:val="0"/>
        <w:spacing w:line="360" w:lineRule="exact"/>
        <w:jc w:val="left"/>
        <w:rPr>
          <w:rFonts w:hint="default"/>
          <w:color w:val="000000" w:themeColor="text1"/>
        </w:rPr>
      </w:pPr>
      <w:r>
        <w:rPr>
          <w:rFonts w:hint="eastAsia"/>
          <w:color w:val="000000" w:themeColor="text1"/>
          <w:kern w:val="0"/>
        </w:rPr>
        <w:t>障害のある人や高齢者等の移動の利便性、安全性の向上を促進するため、バリアフリー対応型信号機</w:t>
      </w:r>
      <w:r>
        <w:rPr>
          <w:rFonts w:hint="eastAsia"/>
          <w:color w:val="000000" w:themeColor="text1"/>
          <w:spacing w:val="-4"/>
          <w:kern w:val="0"/>
          <w:vertAlign w:val="superscript"/>
        </w:rPr>
        <w:t>＊</w:t>
      </w:r>
      <w:r>
        <w:rPr>
          <w:rFonts w:hint="eastAsia"/>
          <w:color w:val="000000" w:themeColor="text1"/>
          <w:spacing w:val="-4"/>
          <w:kern w:val="0"/>
        </w:rPr>
        <w:t>等の整備を</w:t>
      </w:r>
      <w:r>
        <w:rPr>
          <w:rFonts w:hint="eastAsia"/>
          <w:color w:val="000000" w:themeColor="text1"/>
          <w:kern w:val="0"/>
        </w:rPr>
        <w:t>推進します。</w:t>
      </w:r>
      <w:r>
        <w:rPr>
          <w:rFonts w:hint="eastAsia"/>
          <w:color w:val="000000" w:themeColor="text1"/>
          <w:spacing w:val="-4"/>
          <w:kern w:val="0"/>
          <w:sz w:val="16"/>
        </w:rPr>
        <w:t>[</w:t>
      </w:r>
      <w:r>
        <w:rPr>
          <w:rFonts w:hint="eastAsia"/>
          <w:color w:val="000000" w:themeColor="text1"/>
          <w:spacing w:val="-4"/>
          <w:kern w:val="0"/>
          <w:sz w:val="16"/>
        </w:rPr>
        <w:t>警察本部</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rPr>
      </w:pPr>
    </w:p>
    <w:p>
      <w:pPr>
        <w:pStyle w:val="0"/>
        <w:numPr>
          <w:ilvl w:val="0"/>
          <w:numId w:val="105"/>
        </w:numPr>
        <w:autoSpaceDE w:val="0"/>
        <w:autoSpaceDN w:val="0"/>
        <w:adjustRightInd w:val="0"/>
        <w:spacing w:line="360" w:lineRule="exact"/>
        <w:jc w:val="left"/>
        <w:rPr>
          <w:rFonts w:hint="default"/>
          <w:color w:val="000000" w:themeColor="text1"/>
        </w:rPr>
      </w:pPr>
      <w:r>
        <w:rPr>
          <w:rFonts w:hint="eastAsia"/>
          <w:color w:val="000000" w:themeColor="text1"/>
          <w:kern w:val="0"/>
        </w:rPr>
        <w:t>横断歩道や交差点といった駐停車禁止場所等における悪質性、危険性、迷惑性の高い違反に対する取締りを強化するとともに、放置自転車等の撤去を行う市町と連携し、視覚障害者誘導用ブロックが設置されている歩道等における二輪車の違法駐車についても積極的な取締りを推進します。</w:t>
      </w:r>
      <w:r>
        <w:rPr>
          <w:rFonts w:hint="eastAsia"/>
          <w:color w:val="000000" w:themeColor="text1"/>
          <w:spacing w:val="-4"/>
          <w:kern w:val="0"/>
          <w:sz w:val="16"/>
        </w:rPr>
        <w:t>[</w:t>
      </w:r>
      <w:r>
        <w:rPr>
          <w:rFonts w:hint="eastAsia"/>
          <w:color w:val="000000" w:themeColor="text1"/>
          <w:spacing w:val="-4"/>
          <w:kern w:val="0"/>
          <w:sz w:val="16"/>
        </w:rPr>
        <w:t>警察本部</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rPr>
      </w:pPr>
    </w:p>
    <w:p>
      <w:pPr>
        <w:pStyle w:val="0"/>
        <w:numPr>
          <w:ilvl w:val="0"/>
          <w:numId w:val="105"/>
        </w:numPr>
        <w:autoSpaceDE w:val="0"/>
        <w:autoSpaceDN w:val="0"/>
        <w:adjustRightInd w:val="0"/>
        <w:spacing w:line="360" w:lineRule="exact"/>
        <w:jc w:val="left"/>
        <w:rPr>
          <w:rFonts w:hint="default"/>
        </w:rPr>
      </w:pPr>
      <w:r>
        <w:rPr>
          <w:rFonts w:hint="eastAsia"/>
          <w:color w:val="000000" w:themeColor="text1"/>
          <w:kern w:val="0"/>
        </w:rPr>
        <w:t>障害のある人や高齢者等の利用の多い道路では、交通安全対策を進めるとともに、道路拡幅や歩道整備、無電柱化等</w:t>
      </w:r>
      <w:r>
        <w:rPr>
          <w:rFonts w:hint="eastAsia"/>
          <w:kern w:val="0"/>
        </w:rPr>
        <w:t>を積極的に推進します。</w:t>
      </w:r>
      <w:r>
        <w:rPr>
          <w:rFonts w:hint="eastAsia"/>
          <w:spacing w:val="-4"/>
          <w:w w:val="90"/>
          <w:kern w:val="0"/>
          <w:sz w:val="16"/>
        </w:rPr>
        <w:t>[</w:t>
      </w:r>
      <w:r>
        <w:rPr>
          <w:rFonts w:hint="eastAsia"/>
          <w:spacing w:val="-4"/>
          <w:w w:val="90"/>
          <w:kern w:val="0"/>
          <w:sz w:val="16"/>
        </w:rPr>
        <w:t>交通基盤部道路局</w:t>
      </w:r>
      <w:r>
        <w:rPr>
          <w:rFonts w:hint="eastAsia"/>
          <w:spacing w:val="-4"/>
          <w:w w:val="90"/>
          <w:kern w:val="0"/>
          <w:sz w:val="16"/>
        </w:rPr>
        <w:t>]</w:t>
      </w:r>
      <w:r>
        <w:rPr>
          <w:rFonts w:hint="eastAsia"/>
          <w:spacing w:val="-4"/>
          <w:w w:val="90"/>
          <w:kern w:val="0"/>
          <w:sz w:val="16"/>
        </w:rPr>
        <w:t>、</w:t>
      </w:r>
      <w:r>
        <w:rPr>
          <w:rFonts w:hint="eastAsia"/>
          <w:spacing w:val="-4"/>
          <w:w w:val="90"/>
          <w:kern w:val="0"/>
          <w:sz w:val="16"/>
        </w:rPr>
        <w:t>[</w:t>
      </w:r>
      <w:r>
        <w:rPr>
          <w:rFonts w:hint="eastAsia"/>
          <w:spacing w:val="-4"/>
          <w:w w:val="90"/>
          <w:kern w:val="0"/>
          <w:sz w:val="16"/>
        </w:rPr>
        <w:t>交通基盤部都市局</w:t>
      </w:r>
      <w:r>
        <w:rPr>
          <w:rFonts w:hint="eastAsia"/>
          <w:spacing w:val="-4"/>
          <w:w w:val="90"/>
          <w:kern w:val="0"/>
          <w:sz w:val="16"/>
        </w:rPr>
        <w:t>]</w:t>
      </w:r>
    </w:p>
    <w:p>
      <w:pPr>
        <w:pStyle w:val="0"/>
        <w:autoSpaceDE w:val="0"/>
        <w:autoSpaceDN w:val="0"/>
        <w:adjustRightInd w:val="0"/>
        <w:spacing w:line="360" w:lineRule="exact"/>
        <w:ind w:left="0" w:leftChars="0" w:firstLineChars="0"/>
        <w:jc w:val="left"/>
        <w:rPr>
          <w:rFonts w:hint="default"/>
        </w:rPr>
      </w:pP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イ　交通安全教育の普及徹底等</w:t>
      </w:r>
    </w:p>
    <w:p>
      <w:pPr>
        <w:pStyle w:val="0"/>
        <w:numPr>
          <w:ilvl w:val="0"/>
          <w:numId w:val="106"/>
        </w:numPr>
        <w:autoSpaceDE w:val="0"/>
        <w:autoSpaceDN w:val="0"/>
        <w:adjustRightInd w:val="0"/>
        <w:spacing w:line="360" w:lineRule="exact"/>
        <w:jc w:val="left"/>
        <w:rPr>
          <w:rFonts w:hint="default"/>
        </w:rPr>
      </w:pPr>
      <w:r>
        <w:rPr>
          <w:rFonts w:hint="eastAsia"/>
          <w:kern w:val="0"/>
        </w:rPr>
        <w:t>障害者団体が行う障害のある人を対象とした自動車安全教室の開催を支援し、障害のある人の交通安全意識を高めます。</w:t>
      </w:r>
      <w:r>
        <w:rPr>
          <w:rFonts w:hint="eastAsia"/>
          <w:spacing w:val="-4"/>
          <w:kern w:val="0"/>
          <w:sz w:val="16"/>
        </w:rPr>
        <w:t>[</w:t>
      </w:r>
      <w:r>
        <w:rPr>
          <w:rFonts w:hint="eastAsia"/>
          <w:sz w:val="16"/>
        </w:rPr>
        <w:t>健康福祉部</w:t>
      </w:r>
      <w:r>
        <w:rPr>
          <w:rFonts w:hint="eastAsia"/>
          <w:spacing w:val="-4"/>
          <w:kern w:val="0"/>
          <w:sz w:val="16"/>
        </w:rPr>
        <w:t>障害者支援局</w:t>
      </w:r>
      <w:r>
        <w:rPr>
          <w:rFonts w:hint="eastAsia"/>
          <w:spacing w:val="-4"/>
          <w:kern w:val="0"/>
          <w:sz w:val="16"/>
        </w:rPr>
        <w:t>]</w:t>
      </w:r>
    </w:p>
    <w:p>
      <w:pPr>
        <w:pStyle w:val="0"/>
        <w:autoSpaceDE w:val="0"/>
        <w:autoSpaceDN w:val="0"/>
        <w:adjustRightInd w:val="0"/>
        <w:spacing w:line="360" w:lineRule="exact"/>
        <w:ind w:left="868"/>
        <w:jc w:val="left"/>
        <w:rPr>
          <w:rFonts w:hint="default"/>
        </w:rPr>
      </w:pPr>
    </w:p>
    <w:p>
      <w:pPr>
        <w:pStyle w:val="0"/>
        <w:numPr>
          <w:ilvl w:val="0"/>
          <w:numId w:val="106"/>
        </w:numPr>
        <w:autoSpaceDE w:val="0"/>
        <w:autoSpaceDN w:val="0"/>
        <w:adjustRightInd w:val="0"/>
        <w:spacing w:line="360" w:lineRule="exact"/>
        <w:jc w:val="left"/>
        <w:rPr>
          <w:rFonts w:hint="default"/>
          <w:color w:val="000000" w:themeColor="text1"/>
        </w:rPr>
      </w:pPr>
      <w:r>
        <w:rPr>
          <w:rFonts w:hint="eastAsia"/>
        </w:rPr>
        <w:t>障害のある人を含む交通弱者の安全を確保するため、「人優先」の交通安全思想を基本とした交通ルールの遵守</w:t>
      </w:r>
      <w:r>
        <w:rPr>
          <w:rFonts w:hint="eastAsia"/>
          <w:color w:val="000000" w:themeColor="text1"/>
        </w:rPr>
        <w:t>や交通マナーの実践を促す啓発活動を推進します。</w:t>
      </w:r>
      <w:r>
        <w:rPr>
          <w:rFonts w:hint="eastAsia"/>
          <w:color w:val="000000" w:themeColor="text1"/>
          <w:spacing w:val="-4"/>
          <w:kern w:val="0"/>
          <w:sz w:val="16"/>
        </w:rPr>
        <w:t>[</w:t>
      </w:r>
      <w:r>
        <w:rPr>
          <w:rFonts w:hint="eastAsia"/>
          <w:color w:val="000000" w:themeColor="text1"/>
          <w:spacing w:val="-4"/>
          <w:kern w:val="0"/>
          <w:sz w:val="16"/>
        </w:rPr>
        <w:t>くらし</w:t>
      </w:r>
      <w:r>
        <w:rPr>
          <w:rFonts w:hint="eastAsia"/>
          <w:color w:val="000000" w:themeColor="text1"/>
          <w:kern w:val="0"/>
          <w:sz w:val="16"/>
        </w:rPr>
        <w:t>・</w:t>
      </w:r>
      <w:r>
        <w:rPr>
          <w:rFonts w:hint="eastAsia"/>
          <w:color w:val="000000" w:themeColor="text1"/>
          <w:spacing w:val="-4"/>
          <w:kern w:val="0"/>
          <w:sz w:val="16"/>
        </w:rPr>
        <w:t>環境部県民生活局</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rPr>
      </w:pPr>
    </w:p>
    <w:p>
      <w:pPr>
        <w:pStyle w:val="0"/>
        <w:numPr>
          <w:ilvl w:val="0"/>
          <w:numId w:val="106"/>
        </w:numPr>
        <w:autoSpaceDE w:val="0"/>
        <w:autoSpaceDN w:val="0"/>
        <w:adjustRightInd w:val="0"/>
        <w:spacing w:line="360" w:lineRule="exact"/>
        <w:jc w:val="left"/>
        <w:rPr>
          <w:rFonts w:hint="default"/>
          <w:color w:val="000000" w:themeColor="text1"/>
        </w:rPr>
      </w:pPr>
      <w:r>
        <w:rPr>
          <w:rFonts w:hint="eastAsia"/>
          <w:color w:val="000000" w:themeColor="text1"/>
          <w:kern w:val="0"/>
        </w:rPr>
        <w:t>参加する県民の方に応じた交通安全教育を行います。</w:t>
      </w:r>
      <w:r>
        <w:rPr>
          <w:rFonts w:hint="eastAsia"/>
          <w:color w:val="000000" w:themeColor="text1"/>
          <w:spacing w:val="-4"/>
          <w:kern w:val="0"/>
          <w:sz w:val="16"/>
        </w:rPr>
        <w:t>[</w:t>
      </w:r>
      <w:r>
        <w:rPr>
          <w:rFonts w:hint="eastAsia"/>
          <w:color w:val="000000" w:themeColor="text1"/>
          <w:spacing w:val="-4"/>
          <w:kern w:val="0"/>
          <w:sz w:val="16"/>
        </w:rPr>
        <w:t>警察本部</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rPr>
      </w:pPr>
    </w:p>
    <w:p>
      <w:pPr>
        <w:pStyle w:val="0"/>
        <w:numPr>
          <w:ilvl w:val="0"/>
          <w:numId w:val="106"/>
        </w:numPr>
        <w:autoSpaceDE w:val="0"/>
        <w:autoSpaceDN w:val="0"/>
        <w:adjustRightInd w:val="0"/>
        <w:spacing w:line="360" w:lineRule="exact"/>
        <w:jc w:val="left"/>
        <w:rPr>
          <w:rFonts w:hint="default"/>
          <w:b w:val="1"/>
        </w:rPr>
      </w:pPr>
      <w:r>
        <w:rPr>
          <w:rFonts w:hint="eastAsia"/>
          <w:color w:val="000000" w:themeColor="text1"/>
          <w:kern w:val="0"/>
        </w:rPr>
        <w:t>地域交通安全活動推進委員に対し、必要な教養や資料提供を行うなどして、県民の方の交通安全意識を高めるための活動を推進します。</w:t>
      </w:r>
      <w:r>
        <w:rPr>
          <w:rFonts w:hint="eastAsia"/>
          <w:color w:val="000000" w:themeColor="text1"/>
          <w:spacing w:val="-4"/>
          <w:kern w:val="0"/>
          <w:sz w:val="16"/>
        </w:rPr>
        <w:t>[</w:t>
      </w:r>
      <w:r>
        <w:rPr>
          <w:rFonts w:hint="eastAsia"/>
          <w:spacing w:val="-4"/>
          <w:kern w:val="0"/>
          <w:sz w:val="16"/>
        </w:rPr>
        <w:t>警察本部</w:t>
      </w:r>
      <w:r>
        <w:rPr>
          <w:rFonts w:hint="eastAsia"/>
          <w:spacing w:val="-4"/>
          <w:kern w:val="0"/>
          <w:sz w:val="16"/>
        </w:rPr>
        <w:t>]</w:t>
      </w:r>
    </w:p>
    <w:p>
      <w:pPr>
        <w:pStyle w:val="0"/>
        <w:autoSpaceDE w:val="0"/>
        <w:autoSpaceDN w:val="0"/>
        <w:adjustRightInd w:val="0"/>
        <w:spacing w:line="360" w:lineRule="exact"/>
        <w:ind w:left="868"/>
        <w:jc w:val="left"/>
        <w:rPr>
          <w:rFonts w:hint="default"/>
          <w:b w:val="1"/>
        </w:rPr>
      </w:pP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ウ　運転免許取得希望者等への配慮</w:t>
      </w:r>
    </w:p>
    <w:p>
      <w:pPr>
        <w:pStyle w:val="0"/>
        <w:numPr>
          <w:ilvl w:val="0"/>
          <w:numId w:val="107"/>
        </w:numPr>
        <w:autoSpaceDE w:val="0"/>
        <w:autoSpaceDN w:val="0"/>
        <w:adjustRightInd w:val="0"/>
        <w:spacing w:line="360" w:lineRule="exact"/>
        <w:jc w:val="left"/>
        <w:rPr>
          <w:rFonts w:hint="default"/>
          <w:spacing w:val="-4"/>
          <w:kern w:val="0"/>
        </w:rPr>
      </w:pPr>
      <w:r>
        <w:rPr>
          <w:rFonts w:hint="eastAsia"/>
          <w:kern w:val="0"/>
        </w:rPr>
        <w:t>障害のある人が、免許関係手続や運転者教育を受ける際の利便性を向上させるため、障害者団体の要望等を踏まえつつ、利用しやすい環境の整備に努めます。</w:t>
      </w:r>
      <w:r>
        <w:rPr>
          <w:rFonts w:hint="eastAsia"/>
          <w:spacing w:val="-4"/>
          <w:kern w:val="0"/>
          <w:sz w:val="16"/>
        </w:rPr>
        <w:t>[</w:t>
      </w:r>
      <w:r>
        <w:rPr>
          <w:rFonts w:hint="eastAsia"/>
          <w:spacing w:val="-4"/>
          <w:kern w:val="0"/>
          <w:sz w:val="16"/>
        </w:rPr>
        <w:t>警察本部</w:t>
      </w:r>
      <w:r>
        <w:rPr>
          <w:rFonts w:hint="eastAsia"/>
          <w:spacing w:val="-4"/>
          <w:kern w:val="0"/>
          <w:sz w:val="16"/>
        </w:rPr>
        <w:t>]</w:t>
      </w:r>
    </w:p>
    <w:p>
      <w:pPr>
        <w:pStyle w:val="0"/>
        <w:rPr>
          <w:rFonts w:hint="default"/>
        </w:rPr>
      </w:pPr>
    </w:p>
    <w:p>
      <w:pPr>
        <w:pStyle w:val="0"/>
        <w:outlineLvl w:val="2"/>
        <w:rPr>
          <w:rFonts w:hint="default" w:ascii="ＭＳ ゴシック" w:hAnsi="ＭＳ ゴシック" w:eastAsia="ＭＳ ゴシック"/>
        </w:rPr>
      </w:pPr>
      <w:bookmarkStart w:id="130" w:name="_Toc503474092"/>
      <w:r>
        <w:rPr>
          <w:rFonts w:hint="eastAsia" w:ascii="ＭＳ ゴシック" w:hAnsi="ＭＳ ゴシック" w:eastAsia="ＭＳ ゴシック"/>
        </w:rPr>
        <w:t>（６）消費者としての利益の擁護及び増進</w:t>
      </w:r>
      <w:bookmarkEnd w:id="130"/>
    </w:p>
    <w:p>
      <w:pPr>
        <w:pStyle w:val="0"/>
        <w:rPr>
          <w:rFonts w:hint="default"/>
        </w:rPr>
      </w:pPr>
      <w:r>
        <w:rPr>
          <w:rFonts w:hint="eastAsia" w:ascii="ＭＳ ゴシック" w:hAnsi="ＭＳ ゴシック" w:eastAsia="ＭＳ ゴシック"/>
        </w:rPr>
        <w:t>【現状と課題】</w:t>
      </w:r>
    </w:p>
    <w:p>
      <w:pPr>
        <w:pStyle w:val="0"/>
        <w:numPr>
          <w:ilvl w:val="0"/>
          <w:numId w:val="108"/>
        </w:numPr>
        <w:autoSpaceDE w:val="0"/>
        <w:autoSpaceDN w:val="0"/>
        <w:adjustRightInd w:val="0"/>
        <w:spacing w:line="360" w:lineRule="exact"/>
        <w:jc w:val="left"/>
        <w:rPr>
          <w:rFonts w:hint="default"/>
          <w:color w:val="000000" w:themeColor="text1"/>
        </w:rPr>
      </w:pPr>
      <w:r>
        <w:rPr>
          <w:rFonts w:hint="eastAsia"/>
          <w:color w:val="000000" w:themeColor="text1"/>
          <w:kern w:val="0"/>
        </w:rPr>
        <w:t>障害のある人の相談は、増加傾向にあり、障害のある人をターゲットにした悪質商法も報告されています。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95"/>
        </w:numPr>
        <w:autoSpaceDE w:val="0"/>
        <w:autoSpaceDN w:val="0"/>
        <w:adjustRightInd w:val="0"/>
        <w:spacing w:line="360" w:lineRule="exact"/>
        <w:jc w:val="left"/>
        <w:rPr>
          <w:rFonts w:hint="default"/>
          <w:color w:val="000000" w:themeColor="text1"/>
        </w:rPr>
      </w:pPr>
      <w:r>
        <w:rPr>
          <w:rFonts w:hint="eastAsia"/>
          <w:color w:val="000000" w:themeColor="text1"/>
        </w:rPr>
        <w:t>消費生活相談センター等への相談者の傾向をみると、消費生活相談全体で、本人から相談が寄せられる割合が約８割であるのに対し、障害のある人の相談においては、本人からの相談が約４割となっており、本人よりも家族など、周囲で見守る人からの相談が多くなっています。相談内容を見ると、判断力の不足や契約内容への理解不足でトラブルになっていると思われるケースが目立ちま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95"/>
        </w:numPr>
        <w:autoSpaceDE w:val="0"/>
        <w:autoSpaceDN w:val="0"/>
        <w:adjustRightInd w:val="0"/>
        <w:spacing w:line="360" w:lineRule="exact"/>
        <w:jc w:val="left"/>
        <w:rPr>
          <w:rFonts w:hint="default"/>
          <w:color w:val="000000" w:themeColor="text1"/>
        </w:rPr>
      </w:pPr>
      <w:r>
        <w:rPr>
          <w:rFonts w:hint="eastAsia"/>
          <w:color w:val="000000" w:themeColor="text1"/>
        </w:rPr>
        <w:t>障害のある人は、被害に遭ったと気付かない場合や、気付いても周囲に相談しない場合も多いため、周囲が見守り、早期に異変に気づき、消費生活センター等の相談窓口につなぐことが大切です。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95"/>
        </w:numPr>
        <w:autoSpaceDE w:val="0"/>
        <w:autoSpaceDN w:val="0"/>
        <w:adjustRightInd w:val="0"/>
        <w:spacing w:line="360" w:lineRule="exact"/>
        <w:jc w:val="left"/>
        <w:rPr>
          <w:rFonts w:hint="default"/>
        </w:rPr>
      </w:pPr>
      <w:r>
        <w:rPr>
          <w:rFonts w:hint="eastAsia"/>
          <w:color w:val="000000" w:themeColor="text1"/>
          <w:kern w:val="0"/>
        </w:rPr>
        <w:t>障害のある人が医療・福祉サービスを受ける際に、障害のある人に配慮しつつ、主体的で合理的な選択ができるよう、より丁寧な情報提供が必要です。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numPr>
          <w:ilvl w:val="0"/>
          <w:numId w:val="109"/>
        </w:numPr>
        <w:autoSpaceDE w:val="0"/>
        <w:autoSpaceDN w:val="0"/>
        <w:adjustRightInd w:val="0"/>
        <w:spacing w:line="360" w:lineRule="exact"/>
        <w:jc w:val="left"/>
        <w:rPr>
          <w:rFonts w:hint="default"/>
          <w:color w:val="000000" w:themeColor="text1"/>
          <w:spacing w:val="-4"/>
          <w:kern w:val="0"/>
          <w:sz w:val="16"/>
        </w:rPr>
      </w:pPr>
      <w:r>
        <w:rPr>
          <w:rFonts w:hint="eastAsia"/>
          <w:kern w:val="0"/>
        </w:rPr>
        <w:t>「自ら学び</w:t>
      </w:r>
      <w:r>
        <w:rPr>
          <w:rFonts w:hint="eastAsia"/>
          <w:color w:val="000000" w:themeColor="text1"/>
          <w:kern w:val="0"/>
        </w:rPr>
        <w:t>自立し行動する消費者」を育成するため、消費者教育の充実を図ります。</w:t>
      </w:r>
      <w:r>
        <w:rPr>
          <w:rFonts w:hint="eastAsia"/>
          <w:color w:val="000000" w:themeColor="text1"/>
          <w:spacing w:val="-4"/>
          <w:kern w:val="0"/>
          <w:sz w:val="16"/>
        </w:rPr>
        <w:t>[</w:t>
      </w:r>
      <w:r>
        <w:rPr>
          <w:rFonts w:hint="eastAsia"/>
          <w:color w:val="000000" w:themeColor="text1"/>
          <w:spacing w:val="-4"/>
          <w:kern w:val="0"/>
          <w:sz w:val="16"/>
        </w:rPr>
        <w:t>くらし</w:t>
      </w:r>
      <w:r>
        <w:rPr>
          <w:rFonts w:hint="eastAsia"/>
          <w:color w:val="000000" w:themeColor="text1"/>
          <w:kern w:val="0"/>
          <w:sz w:val="16"/>
        </w:rPr>
        <w:t>・</w:t>
      </w:r>
      <w:r>
        <w:rPr>
          <w:rFonts w:hint="eastAsia"/>
          <w:color w:val="000000" w:themeColor="text1"/>
          <w:spacing w:val="-4"/>
          <w:kern w:val="0"/>
          <w:sz w:val="16"/>
        </w:rPr>
        <w:t>環境部県民生活局</w:t>
      </w:r>
      <w:r>
        <w:rPr>
          <w:rFonts w:hint="eastAsia"/>
          <w:color w:val="000000" w:themeColor="text1"/>
          <w:spacing w:val="-4"/>
          <w:kern w:val="0"/>
          <w:sz w:val="16"/>
        </w:rPr>
        <w:t>]</w:t>
      </w:r>
    </w:p>
    <w:p>
      <w:pPr>
        <w:pStyle w:val="0"/>
        <w:autoSpaceDE w:val="0"/>
        <w:autoSpaceDN w:val="0"/>
        <w:adjustRightInd w:val="0"/>
        <w:spacing w:line="360" w:lineRule="exact"/>
        <w:ind w:left="578"/>
        <w:jc w:val="left"/>
        <w:rPr>
          <w:rFonts w:hint="default"/>
          <w:color w:val="000000" w:themeColor="text1"/>
          <w:spacing w:val="-4"/>
          <w:kern w:val="0"/>
          <w:sz w:val="16"/>
        </w:rPr>
      </w:pPr>
    </w:p>
    <w:p>
      <w:pPr>
        <w:pStyle w:val="0"/>
        <w:numPr>
          <w:ilvl w:val="0"/>
          <w:numId w:val="109"/>
        </w:numPr>
        <w:autoSpaceDE w:val="0"/>
        <w:autoSpaceDN w:val="0"/>
        <w:adjustRightInd w:val="0"/>
        <w:spacing w:line="360" w:lineRule="exact"/>
        <w:jc w:val="left"/>
        <w:rPr>
          <w:rFonts w:hint="default"/>
          <w:color w:val="000000" w:themeColor="text1"/>
        </w:rPr>
      </w:pPr>
      <w:r>
        <w:rPr>
          <w:rFonts w:hint="eastAsia"/>
          <w:color w:val="000000" w:themeColor="text1"/>
          <w:kern w:val="0"/>
        </w:rPr>
        <w:t>特別支援学校</w:t>
      </w:r>
      <w:r>
        <w:rPr>
          <w:rFonts w:hint="eastAsia"/>
          <w:spacing w:val="-4"/>
          <w:kern w:val="0"/>
          <w:vertAlign w:val="superscript"/>
        </w:rPr>
        <w:t>＊</w:t>
      </w:r>
      <w:r>
        <w:rPr>
          <w:rFonts w:hint="eastAsia"/>
          <w:color w:val="000000" w:themeColor="text1"/>
          <w:kern w:val="0"/>
        </w:rPr>
        <w:t>をはじめとし、学校、地域、家庭、職域等、ライフステージに対応した多様な場における消費者教育・啓発を実施します。</w:t>
      </w:r>
      <w:r>
        <w:rPr>
          <w:rFonts w:hint="eastAsia"/>
          <w:color w:val="000000" w:themeColor="text1"/>
          <w:spacing w:val="-4"/>
          <w:kern w:val="0"/>
          <w:sz w:val="16"/>
        </w:rPr>
        <w:t>[</w:t>
      </w:r>
      <w:r>
        <w:rPr>
          <w:rFonts w:hint="eastAsia"/>
          <w:color w:val="000000" w:themeColor="text1"/>
          <w:spacing w:val="-4"/>
          <w:kern w:val="0"/>
          <w:sz w:val="16"/>
        </w:rPr>
        <w:t>くらし</w:t>
      </w:r>
      <w:r>
        <w:rPr>
          <w:rFonts w:hint="eastAsia"/>
          <w:color w:val="000000" w:themeColor="text1"/>
          <w:kern w:val="0"/>
          <w:sz w:val="16"/>
        </w:rPr>
        <w:t>・</w:t>
      </w:r>
      <w:r>
        <w:rPr>
          <w:rFonts w:hint="eastAsia"/>
          <w:color w:val="000000" w:themeColor="text1"/>
          <w:spacing w:val="-4"/>
          <w:kern w:val="0"/>
          <w:sz w:val="16"/>
        </w:rPr>
        <w:t>環境部県民生活局</w:t>
      </w:r>
      <w:r>
        <w:rPr>
          <w:rFonts w:hint="eastAsia"/>
          <w:color w:val="000000" w:themeColor="text1"/>
          <w:spacing w:val="-4"/>
          <w:kern w:val="0"/>
          <w:sz w:val="16"/>
        </w:rPr>
        <w:t>]</w:t>
      </w:r>
    </w:p>
    <w:p>
      <w:pPr>
        <w:pStyle w:val="0"/>
        <w:autoSpaceDE w:val="0"/>
        <w:autoSpaceDN w:val="0"/>
        <w:adjustRightInd w:val="0"/>
        <w:spacing w:line="360" w:lineRule="exact"/>
        <w:ind w:left="578"/>
        <w:jc w:val="left"/>
        <w:rPr>
          <w:rFonts w:hint="default"/>
          <w:color w:val="000000" w:themeColor="text1"/>
        </w:rPr>
      </w:pPr>
    </w:p>
    <w:p>
      <w:pPr>
        <w:pStyle w:val="0"/>
        <w:numPr>
          <w:ilvl w:val="0"/>
          <w:numId w:val="109"/>
        </w:numPr>
        <w:autoSpaceDE w:val="0"/>
        <w:autoSpaceDN w:val="0"/>
        <w:adjustRightInd w:val="0"/>
        <w:spacing w:line="360" w:lineRule="exact"/>
        <w:jc w:val="left"/>
        <w:rPr>
          <w:rFonts w:hint="default"/>
          <w:color w:val="000000" w:themeColor="text1"/>
          <w:spacing w:val="-4"/>
          <w:kern w:val="0"/>
          <w:sz w:val="22"/>
          <w:u w:val="single" w:color="auto"/>
        </w:rPr>
      </w:pPr>
      <w:r>
        <w:rPr>
          <w:rFonts w:hint="eastAsia"/>
          <w:color w:val="000000" w:themeColor="text1"/>
          <w:spacing w:val="-4"/>
          <w:kern w:val="0"/>
        </w:rPr>
        <w:t>相談支援事業所や民生委員が、障害のある人から消費者被害に関する相談を受けた場合には、速やかに消費生活相談窓口につなぐことができるよう、連携を図ります。</w:t>
      </w:r>
      <w:r>
        <w:rPr>
          <w:rFonts w:hint="eastAsia"/>
          <w:color w:val="000000" w:themeColor="text1"/>
          <w:spacing w:val="-4"/>
          <w:kern w:val="0"/>
          <w:sz w:val="16"/>
        </w:rPr>
        <w:t>[</w:t>
      </w:r>
      <w:r>
        <w:rPr>
          <w:rFonts w:hint="eastAsia"/>
          <w:spacing w:val="-4"/>
          <w:kern w:val="0"/>
          <w:sz w:val="16"/>
        </w:rPr>
        <w:t>くらし</w:t>
      </w:r>
      <w:r>
        <w:rPr>
          <w:rFonts w:hint="eastAsia"/>
          <w:kern w:val="0"/>
          <w:sz w:val="16"/>
        </w:rPr>
        <w:t>・</w:t>
      </w:r>
      <w:r>
        <w:rPr>
          <w:rFonts w:hint="eastAsia"/>
          <w:spacing w:val="-4"/>
          <w:kern w:val="0"/>
          <w:sz w:val="16"/>
        </w:rPr>
        <w:t>環境部県民生活局</w:t>
      </w:r>
      <w:r>
        <w:rPr>
          <w:rFonts w:hint="eastAsia"/>
          <w:spacing w:val="-4"/>
          <w:kern w:val="0"/>
          <w:sz w:val="16"/>
        </w:rPr>
        <w:t>]</w:t>
      </w:r>
    </w:p>
    <w:p>
      <w:pPr>
        <w:pStyle w:val="0"/>
        <w:autoSpaceDE w:val="0"/>
        <w:autoSpaceDN w:val="0"/>
        <w:adjustRightInd w:val="0"/>
        <w:spacing w:line="360" w:lineRule="exact"/>
        <w:ind w:left="578"/>
        <w:jc w:val="left"/>
        <w:rPr>
          <w:rFonts w:hint="default"/>
          <w:color w:val="000000" w:themeColor="text1"/>
          <w:spacing w:val="-4"/>
          <w:kern w:val="0"/>
          <w:sz w:val="22"/>
          <w:u w:val="single" w:color="auto"/>
        </w:rPr>
      </w:pPr>
    </w:p>
    <w:p>
      <w:pPr>
        <w:pStyle w:val="0"/>
        <w:numPr>
          <w:ilvl w:val="0"/>
          <w:numId w:val="109"/>
        </w:numPr>
        <w:autoSpaceDE w:val="0"/>
        <w:autoSpaceDN w:val="0"/>
        <w:adjustRightInd w:val="0"/>
        <w:spacing w:line="360" w:lineRule="exact"/>
        <w:jc w:val="left"/>
        <w:rPr>
          <w:rFonts w:hint="default"/>
          <w:spacing w:val="-4"/>
          <w:kern w:val="0"/>
          <w:sz w:val="22"/>
        </w:rPr>
      </w:pPr>
      <w:r>
        <w:rPr>
          <w:rFonts w:hint="eastAsia"/>
          <w:spacing w:val="-4"/>
          <w:kern w:val="0"/>
        </w:rPr>
        <w:t>日常の仕事や生活の中で、高齢者や障害のある人を見守り、声かけを行う団体等を「１８８（いやや）で見守り隊」として登録し、高齢者や障害のある人の消費者被害の防止を図ります。</w:t>
      </w:r>
      <w:r>
        <w:rPr>
          <w:rFonts w:hint="eastAsia"/>
          <w:spacing w:val="-4"/>
          <w:kern w:val="0"/>
          <w:sz w:val="16"/>
        </w:rPr>
        <w:t>[</w:t>
      </w:r>
      <w:r>
        <w:rPr>
          <w:rFonts w:hint="eastAsia"/>
          <w:spacing w:val="-4"/>
          <w:kern w:val="0"/>
          <w:sz w:val="16"/>
        </w:rPr>
        <w:t>くらし・環境部県民生活局</w:t>
      </w:r>
      <w:r>
        <w:rPr>
          <w:rFonts w:hint="eastAsia"/>
          <w:spacing w:val="-4"/>
          <w:kern w:val="0"/>
          <w:sz w:val="16"/>
        </w:rPr>
        <w:t>]</w:t>
      </w:r>
    </w:p>
    <w:p>
      <w:pPr>
        <w:pStyle w:val="0"/>
        <w:autoSpaceDE w:val="0"/>
        <w:autoSpaceDN w:val="0"/>
        <w:adjustRightInd w:val="0"/>
        <w:spacing w:line="360" w:lineRule="exact"/>
        <w:ind w:left="578"/>
        <w:jc w:val="left"/>
        <w:rPr>
          <w:rFonts w:hint="default"/>
          <w:spacing w:val="-4"/>
          <w:kern w:val="0"/>
          <w:sz w:val="22"/>
        </w:rPr>
      </w:pPr>
    </w:p>
    <w:p>
      <w:pPr>
        <w:pStyle w:val="0"/>
        <w:numPr>
          <w:ilvl w:val="0"/>
          <w:numId w:val="109"/>
        </w:numPr>
        <w:autoSpaceDE w:val="0"/>
        <w:autoSpaceDN w:val="0"/>
        <w:adjustRightInd w:val="0"/>
        <w:spacing w:line="360" w:lineRule="exact"/>
        <w:jc w:val="left"/>
        <w:rPr>
          <w:rFonts w:hint="default"/>
        </w:rPr>
      </w:pPr>
      <w:r>
        <w:rPr>
          <w:rFonts w:hint="eastAsia"/>
          <w:kern w:val="0"/>
        </w:rPr>
        <w:t>判断能力が十分ではない人の権利を擁護するため、成年後見制度</w:t>
      </w:r>
      <w:r>
        <w:rPr>
          <w:rFonts w:hint="eastAsia"/>
          <w:spacing w:val="-4"/>
          <w:kern w:val="0"/>
          <w:vertAlign w:val="superscript"/>
        </w:rPr>
        <w:t>＊</w:t>
      </w:r>
      <w:r>
        <w:rPr>
          <w:rFonts w:hint="eastAsia"/>
          <w:kern w:val="0"/>
        </w:rPr>
        <w:t>の利用促進に向けて市町が実施する市民後見人</w:t>
      </w:r>
      <w:r>
        <w:rPr>
          <w:rFonts w:hint="eastAsia"/>
          <w:spacing w:val="-4"/>
          <w:kern w:val="0"/>
          <w:vertAlign w:val="superscript"/>
        </w:rPr>
        <w:t>＊</w:t>
      </w:r>
      <w:r>
        <w:rPr>
          <w:rFonts w:hint="eastAsia"/>
          <w:kern w:val="0"/>
        </w:rPr>
        <w:t>の養成、権利擁護支援のための地域連携ネットワークやその中核となる機関の設置などの取組を支援します。</w:t>
      </w:r>
      <w:r>
        <w:rPr>
          <w:rFonts w:hint="eastAsia"/>
          <w:spacing w:val="-4"/>
          <w:kern w:val="0"/>
          <w:sz w:val="16"/>
        </w:rPr>
        <w:t>[</w:t>
      </w:r>
      <w:r>
        <w:rPr>
          <w:rFonts w:hint="eastAsia"/>
          <w:sz w:val="16"/>
        </w:rPr>
        <w:t>健康福祉部</w:t>
      </w:r>
      <w:r>
        <w:rPr>
          <w:rFonts w:hint="eastAsia"/>
          <w:spacing w:val="-4"/>
          <w:kern w:val="0"/>
          <w:sz w:val="16"/>
        </w:rPr>
        <w:t>福祉長寿局</w:t>
      </w:r>
      <w:r>
        <w:rPr>
          <w:rFonts w:hint="eastAsia"/>
          <w:spacing w:val="-4"/>
          <w:kern w:val="0"/>
          <w:sz w:val="16"/>
        </w:rPr>
        <w:t>]</w:t>
      </w:r>
    </w:p>
    <w:p>
      <w:pPr>
        <w:pStyle w:val="0"/>
        <w:autoSpaceDE w:val="0"/>
        <w:autoSpaceDN w:val="0"/>
        <w:adjustRightInd w:val="0"/>
        <w:spacing w:line="360" w:lineRule="exact"/>
        <w:ind w:left="578"/>
        <w:jc w:val="left"/>
        <w:rPr>
          <w:rFonts w:hint="default"/>
        </w:rPr>
      </w:pPr>
    </w:p>
    <w:p>
      <w:pPr>
        <w:pStyle w:val="0"/>
        <w:numPr>
          <w:ilvl w:val="0"/>
          <w:numId w:val="109"/>
        </w:numPr>
        <w:autoSpaceDE w:val="0"/>
        <w:autoSpaceDN w:val="0"/>
        <w:adjustRightInd w:val="0"/>
        <w:spacing w:line="360" w:lineRule="exact"/>
        <w:jc w:val="left"/>
        <w:rPr>
          <w:rFonts w:hint="default"/>
          <w:spacing w:val="-4"/>
          <w:kern w:val="0"/>
          <w:sz w:val="16"/>
        </w:rPr>
      </w:pPr>
      <w:r>
        <w:rPr>
          <w:rFonts w:hint="eastAsia"/>
          <w:kern w:val="0"/>
          <w:u w:val="none" w:color="auto"/>
        </w:rPr>
        <w:t>身体障害者福祉センター、発達障害者支援センター等により、障害のある人からの様々な相談に対応します。</w:t>
      </w:r>
      <w:r>
        <w:rPr>
          <w:rFonts w:hint="eastAsia"/>
          <w:spacing w:val="-4"/>
          <w:kern w:val="0"/>
          <w:sz w:val="16"/>
        </w:rPr>
        <w:t>[</w:t>
      </w:r>
      <w:r>
        <w:rPr>
          <w:rFonts w:hint="eastAsia"/>
          <w:sz w:val="16"/>
        </w:rPr>
        <w:t>健康福祉部</w:t>
      </w:r>
      <w:r>
        <w:rPr>
          <w:rFonts w:hint="eastAsia"/>
          <w:spacing w:val="-4"/>
          <w:kern w:val="0"/>
          <w:sz w:val="16"/>
        </w:rPr>
        <w:t>障害者支援局</w:t>
      </w:r>
      <w:r>
        <w:rPr>
          <w:rFonts w:hint="eastAsia"/>
          <w:spacing w:val="-4"/>
          <w:kern w:val="0"/>
          <w:sz w:val="16"/>
        </w:rPr>
        <w:t>]</w:t>
      </w:r>
    </w:p>
    <w:p>
      <w:pPr>
        <w:pStyle w:val="0"/>
        <w:autoSpaceDE w:val="0"/>
        <w:autoSpaceDN w:val="0"/>
        <w:adjustRightInd w:val="0"/>
        <w:spacing w:line="360" w:lineRule="exact"/>
        <w:ind w:left="578"/>
        <w:jc w:val="left"/>
        <w:rPr>
          <w:rFonts w:hint="default"/>
          <w:spacing w:val="-4"/>
          <w:kern w:val="0"/>
          <w:sz w:val="16"/>
        </w:rPr>
      </w:pPr>
    </w:p>
    <w:p>
      <w:pPr>
        <w:pStyle w:val="0"/>
        <w:numPr>
          <w:ilvl w:val="0"/>
          <w:numId w:val="109"/>
        </w:numPr>
        <w:autoSpaceDE w:val="0"/>
        <w:autoSpaceDN w:val="0"/>
        <w:adjustRightInd w:val="0"/>
        <w:spacing w:line="360" w:lineRule="exact"/>
        <w:jc w:val="left"/>
        <w:rPr>
          <w:rFonts w:hint="default"/>
        </w:rPr>
      </w:pPr>
      <w:r>
        <w:rPr>
          <w:rFonts w:hint="eastAsia"/>
          <w:kern w:val="0"/>
        </w:rPr>
        <w:t>障害福祉サービス等の契約時には、利用者の能力に合った適切な手段で契約内容等を説明するように障害者支援施設等を指導します。</w:t>
      </w:r>
      <w:r>
        <w:rPr>
          <w:rFonts w:hint="eastAsia"/>
          <w:spacing w:val="-4"/>
          <w:kern w:val="0"/>
          <w:sz w:val="16"/>
        </w:rPr>
        <w:t>[</w:t>
      </w:r>
      <w:r>
        <w:rPr>
          <w:rFonts w:hint="eastAsia"/>
          <w:sz w:val="16"/>
        </w:rPr>
        <w:t>健康福祉部福祉長寿</w:t>
      </w:r>
      <w:r>
        <w:rPr>
          <w:rFonts w:hint="eastAsia"/>
          <w:spacing w:val="-4"/>
          <w:kern w:val="0"/>
          <w:sz w:val="16"/>
        </w:rPr>
        <w:t>局</w:t>
      </w:r>
      <w:r>
        <w:rPr>
          <w:rFonts w:hint="eastAsia"/>
          <w:spacing w:val="-4"/>
          <w:kern w:val="0"/>
          <w:sz w:val="16"/>
        </w:rPr>
        <w:t>]</w:t>
      </w:r>
    </w:p>
    <w:p>
      <w:pPr>
        <w:rPr>
          <w:rFonts w:hint="default"/>
        </w:rPr>
        <w:sectPr>
          <w:headerReference r:id="rId32" w:type="even"/>
          <w:headerReference r:id="rId33" w:type="default"/>
          <w:headerReference r:id="rId31" w:type="first"/>
          <w:pgSz w:w="11906" w:h="16838"/>
          <w:pgMar w:top="1134" w:right="1021" w:bottom="1134" w:left="1134" w:header="284" w:footer="284" w:gutter="0"/>
          <w:cols w:space="720"/>
          <w:textDirection w:val="lrTb"/>
          <w:docGrid w:type="lines" w:linePitch="428"/>
        </w:sectPr>
      </w:pPr>
    </w:p>
    <w:p>
      <w:pPr>
        <w:pStyle w:val="0"/>
        <w:autoSpaceDE w:val="0"/>
        <w:autoSpaceDN w:val="0"/>
        <w:adjustRightInd w:val="0"/>
        <w:spacing w:line="360" w:lineRule="exact"/>
        <w:ind w:left="576"/>
        <w:jc w:val="left"/>
        <w:rPr>
          <w:rFonts w:hint="default" w:ascii="ＭＳ ゴシック" w:hAnsi="ＭＳ ゴシック" w:eastAsia="ＭＳ ゴシック"/>
          <w:sz w:val="26"/>
          <w:u w:val="single" w:color="auto"/>
        </w:rPr>
      </w:pPr>
      <w:r>
        <w:rPr>
          <w:rFonts w:hint="eastAsia" w:ascii="ＭＳ ゴシック" w:hAnsi="ＭＳ ゴシック" w:eastAsia="ＭＳ ゴシック"/>
          <w:b w:val="1"/>
          <w:color w:val="FFFFFF"/>
          <w:sz w:val="36"/>
        </w:rPr>
        <mc:AlternateContent>
          <mc:Choice Requires="wps">
            <w:drawing>
              <wp:anchor distT="0" distB="0" distL="114300" distR="114300" simplePos="0" relativeHeight="5" behindDoc="0" locked="0" layoutInCell="1" hidden="0" allowOverlap="1">
                <wp:simplePos x="0" y="0"/>
                <wp:positionH relativeFrom="column">
                  <wp:posOffset>0</wp:posOffset>
                </wp:positionH>
                <wp:positionV relativeFrom="paragraph">
                  <wp:posOffset>0</wp:posOffset>
                </wp:positionV>
                <wp:extent cx="6120130" cy="335915"/>
                <wp:effectExtent l="635" t="635" r="29845" b="10795"/>
                <wp:wrapNone/>
                <wp:docPr id="1093" name="オブジェクト 0"/>
                <a:graphic xmlns:a="http://schemas.openxmlformats.org/drawingml/2006/main">
                  <a:graphicData uri="http://schemas.microsoft.com/office/word/2010/wordprocessingShape">
                    <wps:wsp>
                      <wps:cNvPr id="1093" name="オブジェクト 0"/>
                      <wps:cNvSpPr>
                        <a:spLocks noChangeArrowheads="1"/>
                      </wps:cNvSpPr>
                      <wps:spPr>
                        <a:xfrm>
                          <a:off x="0" y="0"/>
                          <a:ext cx="6120130" cy="335915"/>
                        </a:xfrm>
                        <a:prstGeom prst="roundRect">
                          <a:avLst>
                            <a:gd name="adj" fmla="val 16695"/>
                          </a:avLst>
                        </a:prstGeom>
                        <a:solidFill>
                          <a:srgbClr val="C0C0C0">
                            <a:alpha val="39999"/>
                          </a:srgbClr>
                        </a:solidFill>
                        <a:ln w="9525">
                          <a:solidFill>
                            <a:srgbClr val="C0C0C0"/>
                          </a:solidFill>
                        </a:ln>
                      </wps:spPr>
                      <wps:txbx>
                        <w:txbxContent>
                          <w:p>
                            <w:pPr>
                              <w:pStyle w:val="0"/>
                              <w:rPr>
                                <w:rFonts w:hint="default" w:ascii="ＭＳ ゴシック" w:hAnsi="ＭＳ ゴシック" w:eastAsia="ＭＳ ゴシック"/>
                                <w:sz w:val="28"/>
                              </w:rPr>
                            </w:pPr>
                            <w:r>
                              <w:rPr>
                                <w:rFonts w:hint="eastAsia" w:ascii="ＭＳ ゴシック" w:hAnsi="ＭＳ ゴシック" w:eastAsia="ＭＳ ゴシック"/>
                                <w:color w:val="000000" w:themeColor="text1"/>
                                <w:sz w:val="28"/>
                              </w:rPr>
                              <w:t>Ⅲ</w:t>
                            </w:r>
                            <w:r>
                              <w:rPr>
                                <w:rFonts w:hint="eastAsia" w:ascii="ＭＳ ゴシック" w:hAnsi="ＭＳ ゴシック" w:eastAsia="ＭＳ ゴシック"/>
                                <w:sz w:val="28"/>
                              </w:rPr>
                              <w:t>　多様な障害に応じたきめ細かな支援</w:t>
                            </w:r>
                          </w:p>
                        </w:txbxContent>
                      </wps:txbx>
                      <wps:bodyPr vertOverflow="overflow" horzOverflow="overflow" lIns="74295" tIns="8890" rIns="74295" bIns="8890" upright="1"/>
                    </wps:wsp>
                  </a:graphicData>
                </a:graphic>
              </wp:anchor>
            </w:drawing>
          </mc:Choice>
          <mc:Fallback>
            <w:pict>
              <v:roundrect id="オブジェクト 0" style="mso-wrap-distance-right:9pt;mso-wrap-distance-bottom:0pt;margin-top:0pt;mso-position-vertical-relative:text;mso-position-horizontal-relative:text;position:absolute;height:26.45pt;mso-wrap-distance-top:0pt;width:481.9pt;mso-wrap-distance-left:9pt;margin-left:0pt;z-index:5;" o:spid="_x0000_s1093" o:allowincell="t" o:allowoverlap="t" filled="t" fillcolor="#c0c0c0" stroked="t" strokecolor="#c0c0c0" strokeweight="0.75pt" o:spt="2" arcsize="10941f">
                <v:fill opacity="26213f"/>
                <v:stroke filltype="solid"/>
                <v:textbox style="layout-flow:horizontal;" inset="2.0637499999999998mm,0.24694444444444438mm,2.0637499999999998mm,0.24694444444444438mm">
                  <w:txbxContent>
                    <w:p>
                      <w:pPr>
                        <w:pStyle w:val="0"/>
                        <w:rPr>
                          <w:rFonts w:hint="default" w:ascii="ＭＳ ゴシック" w:hAnsi="ＭＳ ゴシック" w:eastAsia="ＭＳ ゴシック"/>
                          <w:sz w:val="28"/>
                        </w:rPr>
                      </w:pPr>
                      <w:r>
                        <w:rPr>
                          <w:rFonts w:hint="eastAsia" w:ascii="ＭＳ ゴシック" w:hAnsi="ＭＳ ゴシック" w:eastAsia="ＭＳ ゴシック"/>
                          <w:color w:val="000000" w:themeColor="text1"/>
                          <w:sz w:val="28"/>
                        </w:rPr>
                        <w:t>Ⅲ</w:t>
                      </w:r>
                      <w:r>
                        <w:rPr>
                          <w:rFonts w:hint="eastAsia" w:ascii="ＭＳ ゴシック" w:hAnsi="ＭＳ ゴシック" w:eastAsia="ＭＳ ゴシック"/>
                          <w:sz w:val="28"/>
                        </w:rPr>
                        <w:t>　多様な障害に応じたきめ細かな支援</w:t>
                      </w:r>
                    </w:p>
                  </w:txbxContent>
                </v:textbox>
                <v:imagedata o:title=""/>
                <w10:wrap type="none" anchorx="text" anchory="text"/>
              </v:roundrect>
            </w:pict>
          </mc:Fallback>
        </mc:AlternateContent>
      </w:r>
      <w:bookmarkStart w:id="131" w:name="_Toc503474093"/>
      <w:bookmarkEnd w:id="131"/>
    </w:p>
    <w:p>
      <w:pPr>
        <w:pStyle w:val="0"/>
        <w:outlineLvl w:val="1"/>
        <w:rPr>
          <w:rFonts w:hint="default" w:ascii="ＭＳ ゴシック" w:hAnsi="ＭＳ ゴシック" w:eastAsia="ＭＳ ゴシック"/>
          <w:sz w:val="26"/>
          <w:u w:val="single" w:color="auto"/>
        </w:rPr>
      </w:pPr>
    </w:p>
    <w:p>
      <w:pPr>
        <w:pStyle w:val="0"/>
        <w:outlineLvl w:val="1"/>
        <w:rPr>
          <w:rFonts w:hint="default" w:ascii="ＭＳ ゴシック" w:hAnsi="ＭＳ ゴシック" w:eastAsia="ＭＳ ゴシック"/>
          <w:sz w:val="26"/>
          <w:u w:val="single" w:color="auto"/>
        </w:rPr>
      </w:pPr>
      <w:r>
        <w:rPr>
          <w:rFonts w:hint="eastAsia" w:ascii="ＭＳ ゴシック" w:hAnsi="ＭＳ ゴシック" w:eastAsia="ＭＳ ゴシック"/>
          <w:sz w:val="26"/>
          <w:u w:val="single" w:color="auto"/>
        </w:rPr>
        <w:t>１　早期支援体制の整備</w:t>
      </w:r>
    </w:p>
    <w:p>
      <w:pPr>
        <w:pStyle w:val="0"/>
        <w:outlineLvl w:val="2"/>
        <w:rPr>
          <w:rFonts w:hint="default"/>
        </w:rPr>
      </w:pPr>
      <w:bookmarkStart w:id="132" w:name="_Toc503474094"/>
      <w:bookmarkEnd w:id="132"/>
      <w:r>
        <w:rPr>
          <w:rFonts w:hint="eastAsia" w:ascii="ＭＳ ゴシック" w:hAnsi="ＭＳ ゴシック" w:eastAsia="ＭＳ ゴシック"/>
        </w:rPr>
        <w:t>（１）早期発見対策の充実</w:t>
      </w:r>
    </w:p>
    <w:p>
      <w:pPr>
        <w:pStyle w:val="0"/>
        <w:rPr>
          <w:rFonts w:hint="default"/>
        </w:rPr>
      </w:pPr>
      <w:r>
        <w:rPr>
          <w:rFonts w:hint="eastAsia" w:ascii="ＭＳ ゴシック" w:hAnsi="ＭＳ ゴシック" w:eastAsia="ＭＳ ゴシック"/>
        </w:rPr>
        <w:t>【現状と課題】</w:t>
      </w:r>
    </w:p>
    <w:p>
      <w:pPr>
        <w:pStyle w:val="0"/>
        <w:numPr>
          <w:ilvl w:val="0"/>
          <w:numId w:val="110"/>
        </w:numPr>
        <w:autoSpaceDE w:val="0"/>
        <w:autoSpaceDN w:val="0"/>
        <w:adjustRightInd w:val="0"/>
        <w:spacing w:line="360" w:lineRule="exact"/>
        <w:ind w:left="573" w:hanging="357"/>
        <w:jc w:val="left"/>
        <w:rPr>
          <w:rFonts w:hint="default"/>
        </w:rPr>
      </w:pPr>
      <w:r>
        <w:rPr>
          <w:rFonts w:hint="eastAsia"/>
          <w:kern w:val="0"/>
        </w:rPr>
        <w:t>低出生体重児等や未熟児については、疾病や障害を早期に発見し、適切な治療を行うため周産期医療体制</w:t>
      </w:r>
      <w:r>
        <w:rPr>
          <w:rFonts w:hint="eastAsia"/>
          <w:spacing w:val="-4"/>
          <w:kern w:val="0"/>
          <w:vertAlign w:val="superscript"/>
        </w:rPr>
        <w:t>＊</w:t>
      </w:r>
      <w:r>
        <w:rPr>
          <w:rFonts w:hint="eastAsia"/>
          <w:kern w:val="0"/>
        </w:rPr>
        <w:t>の充実が求められています。</w:t>
      </w:r>
    </w:p>
    <w:p>
      <w:pPr>
        <w:pStyle w:val="0"/>
        <w:autoSpaceDE w:val="0"/>
        <w:autoSpaceDN w:val="0"/>
        <w:adjustRightInd w:val="0"/>
        <w:spacing w:line="360" w:lineRule="exact"/>
        <w:ind w:left="573"/>
        <w:jc w:val="left"/>
        <w:rPr>
          <w:rFonts w:hint="default"/>
        </w:rPr>
      </w:pPr>
    </w:p>
    <w:p>
      <w:pPr>
        <w:pStyle w:val="0"/>
        <w:numPr>
          <w:ilvl w:val="0"/>
          <w:numId w:val="29"/>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2017</w:t>
      </w:r>
      <w:r>
        <w:rPr>
          <w:rFonts w:hint="eastAsia"/>
          <w:color w:val="000000" w:themeColor="text1"/>
          <w:kern w:val="0"/>
        </w:rPr>
        <w:t>年度に実施した「障害のある方の実態調査」によると、療育手帳を持っている人のうち</w:t>
      </w:r>
      <w:r>
        <w:rPr>
          <w:rFonts w:hint="eastAsia"/>
          <w:color w:val="000000" w:themeColor="text1"/>
        </w:rPr>
        <w:t>25.3</w:t>
      </w:r>
      <w:r>
        <w:rPr>
          <w:rFonts w:hint="eastAsia"/>
          <w:color w:val="000000" w:themeColor="text1"/>
        </w:rPr>
        <w:t>％</w:t>
      </w:r>
      <w:r>
        <w:rPr>
          <w:rFonts w:hint="eastAsia"/>
          <w:color w:val="000000" w:themeColor="text1"/>
          <w:kern w:val="0"/>
        </w:rPr>
        <w:t>の人が「３歳児健診までに知的障害の診断・判定を受けた」と回答しているため、乳幼児健康診査</w:t>
      </w:r>
      <w:r>
        <w:rPr>
          <w:rFonts w:hint="eastAsia"/>
          <w:color w:val="000000" w:themeColor="text1"/>
          <w:spacing w:val="-4"/>
          <w:kern w:val="0"/>
          <w:vertAlign w:val="superscript"/>
        </w:rPr>
        <w:t>＊</w:t>
      </w:r>
      <w:r>
        <w:rPr>
          <w:rFonts w:hint="eastAsia"/>
          <w:color w:val="000000" w:themeColor="text1"/>
          <w:kern w:val="0"/>
        </w:rPr>
        <w:t>をきっかけに、障害の早期発見に結び付けていくことが必要です。</w:t>
      </w:r>
    </w:p>
    <w:p>
      <w:pPr>
        <w:pStyle w:val="0"/>
        <w:autoSpaceDE w:val="0"/>
        <w:autoSpaceDN w:val="0"/>
        <w:adjustRightInd w:val="0"/>
        <w:spacing w:line="360" w:lineRule="exact"/>
        <w:ind w:left="573"/>
        <w:jc w:val="left"/>
        <w:rPr>
          <w:rFonts w:hint="default"/>
          <w:color w:val="000000" w:themeColor="text1"/>
        </w:rPr>
      </w:pPr>
    </w:p>
    <w:p>
      <w:pPr>
        <w:pStyle w:val="0"/>
        <w:numPr>
          <w:ilvl w:val="0"/>
          <w:numId w:val="29"/>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発達障害</w:t>
      </w:r>
      <w:r>
        <w:rPr>
          <w:rFonts w:hint="eastAsia"/>
          <w:spacing w:val="-4"/>
          <w:kern w:val="0"/>
          <w:vertAlign w:val="superscript"/>
        </w:rPr>
        <w:t>＊</w:t>
      </w:r>
      <w:r>
        <w:rPr>
          <w:rFonts w:hint="eastAsia"/>
          <w:color w:val="000000" w:themeColor="text1"/>
          <w:kern w:val="0"/>
        </w:rPr>
        <w:t>を早期に発見できるよう相談・健診指導の充実とともに、専門的な診断及び発達支援のための医療体制の構築が求められています。</w:t>
      </w:r>
    </w:p>
    <w:p>
      <w:pPr>
        <w:pStyle w:val="0"/>
        <w:rPr>
          <w:rFonts w:hint="default"/>
          <w:color w:val="000000" w:themeColor="text1"/>
        </w:rPr>
      </w:pPr>
    </w:p>
    <w:p>
      <w:pPr>
        <w:pStyle w:val="0"/>
        <w:rPr>
          <w:rFonts w:hint="default"/>
          <w:color w:val="000000" w:themeColor="text1"/>
        </w:rPr>
      </w:pPr>
      <w:r>
        <w:rPr>
          <w:rFonts w:hint="eastAsia" w:ascii="ＭＳ ゴシック" w:hAnsi="ＭＳ ゴシック" w:eastAsia="ＭＳ ゴシック"/>
          <w:color w:val="000000" w:themeColor="text1"/>
        </w:rPr>
        <w:t>【県の取組】</w:t>
      </w:r>
    </w:p>
    <w:p>
      <w:pPr>
        <w:pStyle w:val="0"/>
        <w:numPr>
          <w:ilvl w:val="0"/>
          <w:numId w:val="111"/>
        </w:numPr>
        <w:autoSpaceDE w:val="0"/>
        <w:autoSpaceDN w:val="0"/>
        <w:adjustRightInd w:val="0"/>
        <w:spacing w:line="360" w:lineRule="exact"/>
        <w:ind w:left="579" w:hanging="363"/>
        <w:jc w:val="left"/>
        <w:rPr>
          <w:rFonts w:hint="default"/>
          <w:color w:val="000000" w:themeColor="text1"/>
        </w:rPr>
      </w:pPr>
      <w:r>
        <w:rPr>
          <w:rFonts w:hint="eastAsia"/>
          <w:color w:val="000000" w:themeColor="text1"/>
          <w:kern w:val="0"/>
        </w:rPr>
        <w:t>市町、医療機関、福祉施設等と連携し、障害のある子どもの早期発見に取り組みます。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 xml:space="preserve">] </w:t>
      </w:r>
    </w:p>
    <w:p>
      <w:pPr>
        <w:pStyle w:val="0"/>
        <w:autoSpaceDE w:val="0"/>
        <w:autoSpaceDN w:val="0"/>
        <w:adjustRightInd w:val="0"/>
        <w:spacing w:line="360" w:lineRule="exact"/>
        <w:ind w:left="579"/>
        <w:jc w:val="left"/>
        <w:rPr>
          <w:rFonts w:hint="default"/>
          <w:color w:val="000000" w:themeColor="text1"/>
        </w:rPr>
      </w:pPr>
    </w:p>
    <w:p>
      <w:pPr>
        <w:pStyle w:val="0"/>
        <w:numPr>
          <w:ilvl w:val="0"/>
          <w:numId w:val="111"/>
        </w:numPr>
        <w:autoSpaceDE w:val="0"/>
        <w:autoSpaceDN w:val="0"/>
        <w:adjustRightInd w:val="0"/>
        <w:spacing w:line="360" w:lineRule="exact"/>
        <w:ind w:left="579" w:hanging="363"/>
        <w:jc w:val="left"/>
        <w:rPr>
          <w:rFonts w:hint="default"/>
          <w:color w:val="000000" w:themeColor="text1"/>
        </w:rPr>
      </w:pPr>
      <w:r>
        <w:rPr>
          <w:rFonts w:hint="eastAsia"/>
          <w:color w:val="000000" w:themeColor="text1"/>
          <w:kern w:val="0"/>
        </w:rPr>
        <w:t>リスクの高い妊産婦や新生児への高度な医療の提供のため、総合周産期母子医療センター及び地域周産期医療センターを支援し、地域の医療機関との連携体制を確保します。</w:t>
      </w:r>
      <w:r>
        <w:rPr>
          <w:rFonts w:hint="eastAsia"/>
          <w:color w:val="000000" w:themeColor="text1"/>
          <w:spacing w:val="-4"/>
          <w:sz w:val="16"/>
        </w:rPr>
        <w:t>[</w:t>
      </w:r>
      <w:r>
        <w:rPr>
          <w:rFonts w:hint="eastAsia"/>
          <w:color w:val="000000" w:themeColor="text1"/>
          <w:spacing w:val="-4"/>
          <w:kern w:val="0"/>
          <w:sz w:val="16"/>
        </w:rPr>
        <w:t>健康福祉部</w:t>
      </w:r>
      <w:r>
        <w:rPr>
          <w:rFonts w:hint="eastAsia"/>
          <w:color w:val="000000" w:themeColor="text1"/>
          <w:spacing w:val="-4"/>
          <w:sz w:val="16"/>
        </w:rPr>
        <w:t>医療局</w:t>
      </w:r>
      <w:r>
        <w:rPr>
          <w:rFonts w:hint="eastAsia"/>
          <w:color w:val="000000" w:themeColor="text1"/>
          <w:spacing w:val="-4"/>
          <w:sz w:val="16"/>
        </w:rPr>
        <w:t>]</w:t>
      </w:r>
    </w:p>
    <w:p>
      <w:pPr>
        <w:pStyle w:val="0"/>
        <w:autoSpaceDE w:val="0"/>
        <w:autoSpaceDN w:val="0"/>
        <w:adjustRightInd w:val="0"/>
        <w:spacing w:line="360" w:lineRule="exact"/>
        <w:jc w:val="left"/>
        <w:rPr>
          <w:rFonts w:hint="default"/>
          <w:color w:val="000000" w:themeColor="text1"/>
        </w:rPr>
      </w:pPr>
    </w:p>
    <w:p>
      <w:pPr>
        <w:pStyle w:val="0"/>
        <w:numPr>
          <w:ilvl w:val="0"/>
          <w:numId w:val="111"/>
        </w:numPr>
        <w:autoSpaceDE w:val="0"/>
        <w:autoSpaceDN w:val="0"/>
        <w:adjustRightInd w:val="0"/>
        <w:spacing w:line="360" w:lineRule="exact"/>
        <w:ind w:left="579" w:hanging="363"/>
        <w:jc w:val="left"/>
        <w:rPr>
          <w:rFonts w:hint="default"/>
          <w:color w:val="000000" w:themeColor="text1"/>
        </w:rPr>
      </w:pPr>
      <w:r>
        <w:rPr>
          <w:rFonts w:hint="eastAsia"/>
          <w:color w:val="000000" w:themeColor="text1"/>
          <w:kern w:val="0"/>
        </w:rPr>
        <w:t>保健師等による家庭訪問や健康相談、乳幼児健康診査</w:t>
      </w:r>
      <w:r>
        <w:rPr>
          <w:rFonts w:hint="eastAsia"/>
          <w:color w:val="000000" w:themeColor="text1"/>
          <w:spacing w:val="-4"/>
          <w:kern w:val="0"/>
          <w:vertAlign w:val="superscript"/>
        </w:rPr>
        <w:t>＊</w:t>
      </w:r>
      <w:r>
        <w:rPr>
          <w:rFonts w:hint="eastAsia"/>
          <w:color w:val="000000" w:themeColor="text1"/>
          <w:kern w:val="0"/>
        </w:rPr>
        <w:t>により、未熟児や障害のある子ども等に対し、きめ細かな相談指導や育児支援を行います。</w:t>
      </w:r>
      <w:r>
        <w:rPr>
          <w:rFonts w:hint="eastAsia"/>
          <w:color w:val="000000" w:themeColor="text1"/>
          <w:spacing w:val="-4"/>
          <w:kern w:val="0"/>
          <w:sz w:val="16"/>
        </w:rPr>
        <w:t>[</w:t>
      </w:r>
      <w:r>
        <w:rPr>
          <w:rFonts w:hint="eastAsia"/>
          <w:color w:val="000000" w:themeColor="text1"/>
          <w:spacing w:val="-4"/>
          <w:kern w:val="0"/>
          <w:sz w:val="16"/>
        </w:rPr>
        <w:t>健康福祉部こども未来局</w:t>
      </w:r>
      <w:r>
        <w:rPr>
          <w:rFonts w:hint="eastAsia"/>
          <w:color w:val="000000" w:themeColor="text1"/>
          <w:spacing w:val="-4"/>
          <w:kern w:val="0"/>
          <w:sz w:val="16"/>
        </w:rPr>
        <w:t>]</w:t>
      </w:r>
    </w:p>
    <w:p>
      <w:pPr>
        <w:pStyle w:val="0"/>
        <w:numPr>
          <w:numId w:val="0"/>
        </w:numPr>
        <w:autoSpaceDE w:val="0"/>
        <w:autoSpaceDN w:val="0"/>
        <w:adjustRightInd w:val="0"/>
        <w:spacing w:line="360" w:lineRule="exact"/>
        <w:ind w:left="579" w:leftChars="0" w:firstLine="0" w:firstLineChars="0"/>
        <w:jc w:val="left"/>
        <w:rPr>
          <w:rFonts w:hint="default"/>
          <w:color w:val="000000" w:themeColor="text1"/>
        </w:rPr>
      </w:pPr>
    </w:p>
    <w:p>
      <w:pPr>
        <w:pStyle w:val="0"/>
        <w:numPr>
          <w:ilvl w:val="0"/>
          <w:numId w:val="111"/>
        </w:numPr>
        <w:autoSpaceDE w:val="0"/>
        <w:autoSpaceDN w:val="0"/>
        <w:adjustRightInd w:val="0"/>
        <w:spacing w:line="360" w:lineRule="exact"/>
        <w:ind w:left="579" w:hanging="363"/>
        <w:jc w:val="left"/>
        <w:rPr>
          <w:rFonts w:hint="default"/>
          <w:color w:val="auto"/>
          <w:sz w:val="24"/>
          <w:highlight w:val="none"/>
        </w:rPr>
      </w:pPr>
      <w:r>
        <w:rPr>
          <w:rFonts w:hint="eastAsia" w:ascii="ＭＳ 明朝" w:hAnsi="ＭＳ 明朝" w:eastAsia="ＭＳ 明朝"/>
          <w:color w:val="auto"/>
          <w:sz w:val="24"/>
          <w:highlight w:val="none"/>
          <w:u w:val="none" w:color="auto"/>
        </w:rPr>
        <w:t>健診に従事する保健師等の質の向上を図るための研修を開催するとともに、各健康福祉センター単位で市町の健診事業の課題を共有・検討する機会を設け、健診事業を行う市町に対し早期発見の効果的な取組を促していきます。</w:t>
      </w:r>
      <w:r>
        <w:rPr>
          <w:rFonts w:hint="eastAsia"/>
          <w:color w:val="000000" w:themeColor="text1"/>
          <w:spacing w:val="-4"/>
          <w:kern w:val="0"/>
          <w:sz w:val="16"/>
          <w:u w:val="none" w:color="auto"/>
        </w:rPr>
        <w:t>[</w:t>
      </w:r>
      <w:r>
        <w:rPr>
          <w:rFonts w:hint="eastAsia"/>
          <w:color w:val="000000" w:themeColor="text1"/>
          <w:spacing w:val="-4"/>
          <w:kern w:val="0"/>
          <w:sz w:val="16"/>
          <w:u w:val="none" w:color="auto"/>
        </w:rPr>
        <w:t>健康福祉部こども未来局</w:t>
      </w:r>
      <w:r>
        <w:rPr>
          <w:rFonts w:hint="eastAsia"/>
          <w:color w:val="000000" w:themeColor="text1"/>
          <w:spacing w:val="-4"/>
          <w:kern w:val="0"/>
          <w:sz w:val="16"/>
          <w:u w:val="none" w:color="auto"/>
        </w:rPr>
        <w:t>]</w:t>
      </w:r>
    </w:p>
    <w:p>
      <w:pPr>
        <w:pStyle w:val="0"/>
        <w:autoSpaceDE w:val="0"/>
        <w:autoSpaceDN w:val="0"/>
        <w:adjustRightInd w:val="0"/>
        <w:spacing w:line="360" w:lineRule="exact"/>
        <w:jc w:val="left"/>
        <w:rPr>
          <w:rFonts w:hint="default"/>
          <w:color w:val="000000" w:themeColor="text1"/>
        </w:rPr>
      </w:pPr>
    </w:p>
    <w:p>
      <w:pPr>
        <w:pStyle w:val="0"/>
        <w:numPr>
          <w:ilvl w:val="0"/>
          <w:numId w:val="111"/>
        </w:numPr>
        <w:autoSpaceDE w:val="0"/>
        <w:autoSpaceDN w:val="0"/>
        <w:adjustRightInd w:val="0"/>
        <w:spacing w:line="360" w:lineRule="exact"/>
        <w:ind w:left="579" w:hanging="363"/>
        <w:jc w:val="left"/>
        <w:rPr>
          <w:rFonts w:hint="default"/>
          <w:spacing w:val="-4"/>
          <w:kern w:val="0"/>
        </w:rPr>
      </w:pPr>
      <w:r>
        <w:rPr>
          <w:rFonts w:hint="eastAsia"/>
          <w:color w:val="000000" w:themeColor="text1"/>
          <w:spacing w:val="-4"/>
          <w:kern w:val="0"/>
        </w:rPr>
        <w:t>発達障害</w:t>
      </w:r>
      <w:r>
        <w:rPr>
          <w:rFonts w:hint="eastAsia"/>
          <w:spacing w:val="-4"/>
          <w:kern w:val="0"/>
          <w:vertAlign w:val="superscript"/>
        </w:rPr>
        <w:t>＊</w:t>
      </w:r>
      <w:r>
        <w:rPr>
          <w:rFonts w:hint="eastAsia"/>
          <w:color w:val="000000" w:themeColor="text1"/>
          <w:spacing w:val="-4"/>
          <w:kern w:val="0"/>
        </w:rPr>
        <w:t>の早期発見体制の充実を図るため、小児科医等のかかりつけ医に対する研修の実施や新たに診療を開始する病院の医師に対する医療技術の研修（陪席研修）のほか、</w:t>
      </w:r>
      <w:r>
        <w:rPr>
          <w:rFonts w:hint="eastAsia"/>
          <w:spacing w:val="-4"/>
          <w:kern w:val="0"/>
        </w:rPr>
        <w:t>発達障害に関する医療機関の情報提供などを行います。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spacing w:val="-4"/>
          <w:kern w:val="0"/>
        </w:rPr>
      </w:pPr>
    </w:p>
    <w:p>
      <w:pPr>
        <w:pStyle w:val="0"/>
        <w:numPr>
          <w:ilvl w:val="0"/>
          <w:numId w:val="111"/>
        </w:numPr>
        <w:autoSpaceDE w:val="0"/>
        <w:autoSpaceDN w:val="0"/>
        <w:adjustRightInd w:val="0"/>
        <w:spacing w:line="360" w:lineRule="exact"/>
        <w:ind w:left="579" w:hanging="363"/>
        <w:jc w:val="left"/>
        <w:rPr>
          <w:rFonts w:hint="default"/>
          <w:spacing w:val="-4"/>
          <w:kern w:val="0"/>
        </w:rPr>
      </w:pPr>
      <w:r>
        <w:rPr>
          <w:rFonts w:hint="eastAsia"/>
          <w:kern w:val="0"/>
        </w:rPr>
        <w:t>疾患等の早期発見、早期治療により障害の軽減を図るため、こども医療費などの医療費助成事業により、負担の軽減を図ります。</w:t>
      </w:r>
      <w:r>
        <w:rPr>
          <w:rFonts w:hint="eastAsia"/>
          <w:spacing w:val="-4"/>
          <w:kern w:val="0"/>
          <w:sz w:val="16"/>
        </w:rPr>
        <w:t>[</w:t>
      </w:r>
      <w:r>
        <w:rPr>
          <w:rFonts w:hint="eastAsia"/>
          <w:spacing w:val="-4"/>
          <w:kern w:val="0"/>
          <w:sz w:val="16"/>
        </w:rPr>
        <w:t>健康福祉部こども未来局</w:t>
      </w:r>
      <w:r>
        <w:rPr>
          <w:rFonts w:hint="eastAsia"/>
          <w:spacing w:val="-4"/>
          <w:kern w:val="0"/>
          <w:sz w:val="16"/>
        </w:rPr>
        <w:t>]</w:t>
      </w:r>
    </w:p>
    <w:p>
      <w:pPr>
        <w:pStyle w:val="0"/>
        <w:autoSpaceDE w:val="0"/>
        <w:autoSpaceDN w:val="0"/>
        <w:adjustRightInd w:val="0"/>
        <w:spacing w:line="360" w:lineRule="exact"/>
        <w:jc w:val="left"/>
        <w:rPr>
          <w:rFonts w:hint="default"/>
          <w:spacing w:val="-4"/>
          <w:kern w:val="0"/>
        </w:rPr>
      </w:pPr>
    </w:p>
    <w:p>
      <w:pPr>
        <w:pStyle w:val="0"/>
        <w:numPr>
          <w:ilvl w:val="0"/>
          <w:numId w:val="111"/>
        </w:numPr>
        <w:autoSpaceDE w:val="0"/>
        <w:autoSpaceDN w:val="0"/>
        <w:adjustRightInd w:val="0"/>
        <w:spacing w:line="360" w:lineRule="exact"/>
        <w:ind w:left="579" w:hanging="363"/>
        <w:jc w:val="left"/>
        <w:rPr>
          <w:rFonts w:hint="default"/>
        </w:rPr>
      </w:pPr>
      <w:r>
        <w:rPr>
          <w:rFonts w:hint="eastAsia"/>
          <w:kern w:val="0"/>
        </w:rPr>
        <w:t>小児慢性特定疾病</w:t>
      </w:r>
      <w:r>
        <w:rPr>
          <w:rFonts w:hint="eastAsia"/>
          <w:spacing w:val="-4"/>
          <w:kern w:val="0"/>
          <w:vertAlign w:val="superscript"/>
        </w:rPr>
        <w:t>＊</w:t>
      </w:r>
      <w:r>
        <w:rPr>
          <w:rFonts w:hint="eastAsia"/>
          <w:kern w:val="0"/>
        </w:rPr>
        <w:t>児童等の健全育成のため、医療費の一部を公費助成し負担軽減を図ります。</w:t>
      </w:r>
      <w:r>
        <w:rPr>
          <w:rFonts w:hint="eastAsia"/>
          <w:spacing w:val="-4"/>
          <w:kern w:val="0"/>
          <w:sz w:val="16"/>
        </w:rPr>
        <w:t>[</w:t>
      </w:r>
      <w:r>
        <w:rPr>
          <w:rFonts w:hint="eastAsia"/>
          <w:spacing w:val="-4"/>
          <w:kern w:val="0"/>
          <w:sz w:val="16"/>
        </w:rPr>
        <w:t>健康福祉部こども未来局</w:t>
      </w:r>
      <w:r>
        <w:rPr>
          <w:rFonts w:hint="eastAsia"/>
          <w:spacing w:val="-4"/>
          <w:kern w:val="0"/>
          <w:sz w:val="16"/>
        </w:rPr>
        <w:t>]</w:t>
      </w:r>
    </w:p>
    <w:p>
      <w:pPr>
        <w:pStyle w:val="0"/>
        <w:autoSpaceDE w:val="0"/>
        <w:autoSpaceDN w:val="0"/>
        <w:adjustRightInd w:val="0"/>
        <w:spacing w:line="360" w:lineRule="exact"/>
        <w:jc w:val="left"/>
        <w:rPr>
          <w:rFonts w:hint="default"/>
        </w:rPr>
      </w:pPr>
    </w:p>
    <w:p>
      <w:pPr>
        <w:pStyle w:val="0"/>
        <w:numPr>
          <w:ilvl w:val="0"/>
          <w:numId w:val="111"/>
        </w:numPr>
        <w:autoSpaceDE w:val="0"/>
        <w:autoSpaceDN w:val="0"/>
        <w:adjustRightInd w:val="0"/>
        <w:spacing w:line="360" w:lineRule="exact"/>
        <w:ind w:left="579" w:hanging="363"/>
        <w:jc w:val="left"/>
        <w:rPr>
          <w:rFonts w:hint="default"/>
        </w:rPr>
      </w:pPr>
      <w:r>
        <w:rPr>
          <w:rFonts w:hint="eastAsia"/>
          <w:kern w:val="0"/>
        </w:rPr>
        <w:t>新生児聴覚スクリーニング検査</w:t>
      </w:r>
      <w:r>
        <w:rPr>
          <w:rFonts w:hint="eastAsia"/>
          <w:spacing w:val="-4"/>
          <w:kern w:val="0"/>
          <w:vertAlign w:val="superscript"/>
        </w:rPr>
        <w:t>＊</w:t>
      </w:r>
      <w:r>
        <w:rPr>
          <w:rFonts w:hint="eastAsia"/>
          <w:kern w:val="0"/>
        </w:rPr>
        <w:t>により、聴覚に障害（又は疑い）のある子どもを早期発見し、人工内耳、補聴器、手話</w:t>
      </w:r>
      <w:r>
        <w:rPr>
          <w:rFonts w:hint="eastAsia"/>
          <w:color w:val="000000" w:themeColor="text1"/>
          <w:spacing w:val="-4"/>
          <w:kern w:val="0"/>
          <w:vertAlign w:val="superscript"/>
        </w:rPr>
        <w:t>＊</w:t>
      </w:r>
      <w:r>
        <w:rPr>
          <w:rFonts w:hint="eastAsia"/>
          <w:kern w:val="0"/>
        </w:rPr>
        <w:t>等に関する情報を提供することにより、必要な治療や療育へとつなげる支援を行います。</w:t>
      </w:r>
      <w:r>
        <w:rPr>
          <w:rFonts w:hint="eastAsia"/>
          <w:spacing w:val="-4"/>
          <w:kern w:val="0"/>
          <w:sz w:val="16"/>
        </w:rPr>
        <w:t>[</w:t>
      </w:r>
      <w:r>
        <w:rPr>
          <w:rFonts w:hint="eastAsia"/>
          <w:spacing w:val="-4"/>
          <w:kern w:val="0"/>
          <w:sz w:val="16"/>
        </w:rPr>
        <w:t>健康福祉部こども未来局</w:t>
      </w:r>
      <w:r>
        <w:rPr>
          <w:rFonts w:hint="eastAsia"/>
          <w:spacing w:val="-4"/>
          <w:kern w:val="0"/>
          <w:sz w:val="16"/>
        </w:rPr>
        <w:t>]</w:t>
      </w:r>
    </w:p>
    <w:p>
      <w:pPr>
        <w:pStyle w:val="0"/>
        <w:numPr>
          <w:ilvl w:val="0"/>
          <w:numId w:val="111"/>
        </w:numPr>
        <w:autoSpaceDE w:val="0"/>
        <w:autoSpaceDN w:val="0"/>
        <w:adjustRightInd w:val="0"/>
        <w:spacing w:line="360" w:lineRule="exact"/>
        <w:ind w:left="579" w:hanging="363"/>
        <w:jc w:val="left"/>
        <w:rPr>
          <w:rFonts w:hint="default"/>
        </w:rPr>
      </w:pPr>
      <w:r>
        <w:rPr>
          <w:rFonts w:hint="eastAsia"/>
          <w:kern w:val="0"/>
        </w:rPr>
        <w:t>身体障害者手帳の対象とならない軽度・中等度難聴児</w:t>
      </w:r>
      <w:r>
        <w:rPr>
          <w:rFonts w:hint="eastAsia"/>
          <w:kern w:val="0"/>
          <w:vertAlign w:val="superscript"/>
        </w:rPr>
        <w:t>＊</w:t>
      </w:r>
      <w:r>
        <w:rPr>
          <w:rFonts w:hint="eastAsia"/>
          <w:kern w:val="0"/>
        </w:rPr>
        <w:t>の言語（手話</w:t>
      </w:r>
      <w:r>
        <w:rPr>
          <w:rFonts w:hint="eastAsia"/>
          <w:color w:val="000000" w:themeColor="text1"/>
          <w:spacing w:val="-4"/>
          <w:kern w:val="0"/>
          <w:vertAlign w:val="superscript"/>
        </w:rPr>
        <w:t>＊</w:t>
      </w:r>
      <w:r>
        <w:rPr>
          <w:rFonts w:hint="eastAsia"/>
          <w:kern w:val="0"/>
        </w:rPr>
        <w:t>を含む）の習得と、教育等における健全な発達を図るため、補聴器購入費用を助成します。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rPr>
      </w:pPr>
    </w:p>
    <w:p>
      <w:pPr>
        <w:pStyle w:val="0"/>
        <w:rPr>
          <w:rFonts w:hint="default"/>
        </w:rPr>
      </w:pPr>
      <w:r>
        <w:rPr>
          <w:rFonts w:hint="eastAsia" w:ascii="ＭＳ ゴシック" w:hAnsi="ＭＳ ゴシック" w:eastAsia="ＭＳ ゴシック"/>
        </w:rPr>
        <w:t>【数値目標】</w:t>
      </w:r>
    </w:p>
    <w:tbl>
      <w:tblPr>
        <w:tblStyle w:val="11"/>
        <w:tblW w:w="4897" w:type="pct"/>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36"/>
        <w:gridCol w:w="4792"/>
        <w:gridCol w:w="2156"/>
        <w:gridCol w:w="2156"/>
      </w:tblGrid>
      <w:tr>
        <w:trPr>
          <w:trHeight w:val="278" w:hRule="atLeast"/>
        </w:trPr>
        <w:tc>
          <w:tcPr>
            <w:tcW w:w="44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p>
        </w:tc>
        <w:tc>
          <w:tcPr>
            <w:tcW w:w="490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指　　　　　　　　標</w:t>
            </w:r>
          </w:p>
        </w:tc>
        <w:tc>
          <w:tcPr>
            <w:tcW w:w="2202"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center"/>
              <w:rPr>
                <w:rFonts w:hint="default"/>
              </w:rPr>
            </w:pPr>
            <w:r>
              <w:rPr>
                <w:rFonts w:hint="eastAsia"/>
              </w:rPr>
              <w:t>現状値</w:t>
            </w:r>
          </w:p>
        </w:tc>
        <w:tc>
          <w:tcPr>
            <w:tcW w:w="2202" w:type="dxa"/>
            <w:vAlign w:val="center"/>
          </w:tcPr>
          <w:p>
            <w:pPr>
              <w:pStyle w:val="0"/>
              <w:jc w:val="center"/>
              <w:rPr>
                <w:rFonts w:hint="default"/>
              </w:rPr>
            </w:pPr>
            <w:r>
              <w:rPr>
                <w:rFonts w:hint="eastAsia"/>
              </w:rPr>
              <w:t>目標値</w:t>
            </w:r>
          </w:p>
        </w:tc>
      </w:tr>
      <w:tr>
        <w:trPr>
          <w:trHeight w:val="510" w:hRule="atLeast"/>
        </w:trPr>
        <w:tc>
          <w:tcPr>
            <w:tcW w:w="44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color w:val="000000" w:themeColor="text1"/>
              </w:rPr>
              <w:t>１</w:t>
            </w:r>
          </w:p>
        </w:tc>
        <w:tc>
          <w:tcPr>
            <w:tcW w:w="4900" w:type="dxa"/>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default"/>
              </w:rPr>
            </w:pPr>
            <w:r>
              <w:rPr>
                <w:rFonts w:hint="eastAsia"/>
              </w:rPr>
              <w:t>新生児聴覚スクリーニング検査</w:t>
            </w:r>
            <w:r>
              <w:rPr>
                <w:rFonts w:hint="eastAsia"/>
                <w:spacing w:val="-4"/>
                <w:kern w:val="0"/>
                <w:vertAlign w:val="superscript"/>
              </w:rPr>
              <w:t>＊</w:t>
            </w:r>
            <w:r>
              <w:rPr>
                <w:rFonts w:hint="eastAsia"/>
              </w:rPr>
              <w:t>受検率</w:t>
            </w:r>
          </w:p>
        </w:tc>
        <w:tc>
          <w:tcPr>
            <w:tcW w:w="2202"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center"/>
              <w:rPr>
                <w:rFonts w:hint="default"/>
              </w:rPr>
            </w:pPr>
            <w:r>
              <w:rPr>
                <w:rFonts w:hint="eastAsia"/>
              </w:rPr>
              <w:t>－</w:t>
            </w:r>
          </w:p>
        </w:tc>
        <w:tc>
          <w:tcPr>
            <w:tcW w:w="2202" w:type="dxa"/>
            <w:vAlign w:val="center"/>
          </w:tcPr>
          <w:p>
            <w:pPr>
              <w:pStyle w:val="0"/>
              <w:spacing w:line="360" w:lineRule="exact"/>
              <w:jc w:val="center"/>
              <w:rPr>
                <w:rFonts w:hint="default"/>
              </w:rPr>
            </w:pPr>
            <w:r>
              <w:rPr>
                <w:rFonts w:hint="eastAsia"/>
              </w:rPr>
              <w:t>（</w:t>
            </w:r>
            <w:r>
              <w:rPr>
                <w:rFonts w:hint="eastAsia"/>
              </w:rPr>
              <w:t>2021</w:t>
            </w:r>
            <w:r>
              <w:rPr>
                <w:rFonts w:hint="eastAsia"/>
              </w:rPr>
              <w:t>年度）</w:t>
            </w:r>
          </w:p>
          <w:p>
            <w:pPr>
              <w:pStyle w:val="0"/>
              <w:spacing w:line="360" w:lineRule="exact"/>
              <w:jc w:val="center"/>
              <w:rPr>
                <w:rFonts w:hint="default"/>
              </w:rPr>
            </w:pPr>
            <w:r>
              <w:rPr>
                <w:rFonts w:hint="eastAsia"/>
              </w:rPr>
              <w:t>100</w:t>
            </w:r>
            <w:r>
              <w:rPr>
                <w:rFonts w:hint="eastAsia"/>
              </w:rPr>
              <w:t>％</w:t>
            </w:r>
          </w:p>
        </w:tc>
      </w:tr>
    </w:tbl>
    <w:p>
      <w:pPr>
        <w:pStyle w:val="0"/>
        <w:rPr>
          <w:rFonts w:hint="default"/>
        </w:rPr>
      </w:pPr>
    </w:p>
    <w:p>
      <w:pPr>
        <w:pStyle w:val="0"/>
        <w:outlineLvl w:val="2"/>
        <w:rPr>
          <w:rFonts w:hint="default" w:ascii="ＭＳ ゴシック" w:hAnsi="ＭＳ ゴシック" w:eastAsia="ＭＳ ゴシック"/>
        </w:rPr>
      </w:pPr>
      <w:bookmarkStart w:id="133" w:name="_Toc503474095"/>
      <w:bookmarkEnd w:id="133"/>
      <w:r>
        <w:rPr>
          <w:rFonts w:hint="eastAsia" w:ascii="ＭＳ ゴシック" w:hAnsi="ＭＳ ゴシック" w:eastAsia="ＭＳ ゴシック"/>
        </w:rPr>
        <w:t>（２）早期療育の充実</w:t>
      </w:r>
    </w:p>
    <w:p>
      <w:pPr>
        <w:pStyle w:val="0"/>
        <w:rPr>
          <w:rFonts w:hint="default"/>
        </w:rPr>
      </w:pPr>
      <w:r>
        <w:rPr>
          <w:rFonts w:hint="eastAsia" w:ascii="ＭＳ ゴシック" w:hAnsi="ＭＳ ゴシック" w:eastAsia="ＭＳ ゴシック"/>
        </w:rPr>
        <w:t>【現状と課題】</w:t>
      </w:r>
    </w:p>
    <w:p>
      <w:pPr>
        <w:pStyle w:val="0"/>
        <w:numPr>
          <w:ilvl w:val="0"/>
          <w:numId w:val="112"/>
        </w:numPr>
        <w:autoSpaceDE w:val="0"/>
        <w:autoSpaceDN w:val="0"/>
        <w:adjustRightInd w:val="0"/>
        <w:spacing w:line="360" w:lineRule="exact"/>
        <w:ind w:left="573" w:hanging="357"/>
        <w:jc w:val="left"/>
        <w:rPr>
          <w:rFonts w:hint="default"/>
        </w:rPr>
      </w:pPr>
      <w:r>
        <w:rPr>
          <w:rFonts w:hint="eastAsia"/>
          <w:kern w:val="0"/>
        </w:rPr>
        <w:t>子育ての不安や負担、悩みなどを地域の身近なところで必要な相談・支援を受けることができると同時に、</w:t>
      </w:r>
      <w:r>
        <w:rPr>
          <w:rFonts w:hint="eastAsia"/>
        </w:rPr>
        <w:t>個々の障害の状態及び発達の過程・特性等に応じた</w:t>
      </w:r>
      <w:r>
        <w:rPr>
          <w:rFonts w:hint="eastAsia"/>
          <w:kern w:val="0"/>
        </w:rPr>
        <w:t>支援を受けることができる体制が求められています。</w:t>
      </w:r>
    </w:p>
    <w:p>
      <w:pPr>
        <w:pStyle w:val="0"/>
        <w:autoSpaceDE w:val="0"/>
        <w:autoSpaceDN w:val="0"/>
        <w:adjustRightInd w:val="0"/>
        <w:spacing w:line="360" w:lineRule="exact"/>
        <w:ind w:left="573"/>
        <w:jc w:val="left"/>
        <w:rPr>
          <w:rFonts w:hint="default"/>
        </w:rPr>
      </w:pPr>
    </w:p>
    <w:p>
      <w:pPr>
        <w:pStyle w:val="0"/>
        <w:numPr>
          <w:ilvl w:val="0"/>
          <w:numId w:val="112"/>
        </w:numPr>
        <w:autoSpaceDE w:val="0"/>
        <w:autoSpaceDN w:val="0"/>
        <w:adjustRightInd w:val="0"/>
        <w:spacing w:line="360" w:lineRule="exact"/>
        <w:ind w:left="573" w:hanging="357"/>
        <w:jc w:val="left"/>
        <w:rPr>
          <w:rFonts w:hint="default"/>
          <w:color w:val="000000" w:themeColor="text1"/>
        </w:rPr>
      </w:pPr>
      <w:r>
        <w:rPr>
          <w:rFonts w:hint="eastAsia"/>
        </w:rPr>
        <w:t>放課後等デイサービス</w:t>
      </w:r>
      <w:r>
        <w:rPr>
          <w:rFonts w:hint="eastAsia"/>
          <w:spacing w:val="-4"/>
          <w:kern w:val="0"/>
          <w:vertAlign w:val="superscript"/>
        </w:rPr>
        <w:t>＊</w:t>
      </w:r>
      <w:r>
        <w:rPr>
          <w:rFonts w:hint="eastAsia"/>
        </w:rPr>
        <w:t>事業所や児童発達支援事業所</w:t>
      </w:r>
      <w:r>
        <w:rPr>
          <w:rFonts w:hint="eastAsia"/>
          <w:spacing w:val="-4"/>
          <w:kern w:val="0"/>
          <w:vertAlign w:val="superscript"/>
        </w:rPr>
        <w:t>＊</w:t>
      </w:r>
      <w:r>
        <w:rPr>
          <w:rFonts w:hint="eastAsia"/>
        </w:rPr>
        <w:t>は、サービスの創設以降、利用児童数、事業所数ともに大幅に増加していますが、</w:t>
      </w:r>
      <w:r>
        <w:rPr>
          <w:rFonts w:hint="eastAsia"/>
          <w:color w:val="000000" w:themeColor="text1"/>
        </w:rPr>
        <w:t>厚生労働省によると、支援の質が低い事業所が増えているとの指摘があります。</w:t>
      </w:r>
    </w:p>
    <w:p>
      <w:pPr>
        <w:pStyle w:val="0"/>
        <w:autoSpaceDE w:val="0"/>
        <w:autoSpaceDN w:val="0"/>
        <w:adjustRightInd w:val="0"/>
        <w:spacing w:line="360" w:lineRule="exact"/>
        <w:jc w:val="left"/>
        <w:rPr>
          <w:rFonts w:hint="default"/>
          <w:color w:val="000000" w:themeColor="text1"/>
        </w:rPr>
      </w:pPr>
    </w:p>
    <w:p>
      <w:pPr>
        <w:pStyle w:val="0"/>
        <w:numPr>
          <w:ilvl w:val="0"/>
          <w:numId w:val="112"/>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障害のある子どもの在宅生活を支えるためには、平日の特別支援教育などのほか、週末等の居宅介護（ホームヘルプサービス）</w:t>
      </w:r>
      <w:r>
        <w:rPr>
          <w:rFonts w:hint="eastAsia"/>
          <w:color w:val="000000" w:themeColor="text1"/>
          <w:kern w:val="0"/>
          <w:vertAlign w:val="superscript"/>
        </w:rPr>
        <w:t>＊</w:t>
      </w:r>
      <w:r>
        <w:rPr>
          <w:rFonts w:hint="eastAsia"/>
          <w:color w:val="000000" w:themeColor="text1"/>
          <w:kern w:val="0"/>
        </w:rPr>
        <w:t>などの訪問系サービス、短期入所（ショートステイ）</w:t>
      </w:r>
      <w:r>
        <w:rPr>
          <w:rFonts w:hint="eastAsia"/>
          <w:color w:val="000000" w:themeColor="text1"/>
          <w:spacing w:val="-4"/>
          <w:kern w:val="0"/>
          <w:vertAlign w:val="superscript"/>
        </w:rPr>
        <w:t>＊</w:t>
      </w:r>
      <w:r>
        <w:rPr>
          <w:rFonts w:hint="eastAsia"/>
          <w:color w:val="000000" w:themeColor="text1"/>
          <w:kern w:val="0"/>
        </w:rPr>
        <w:t>、日中一時支援</w:t>
      </w:r>
      <w:r>
        <w:rPr>
          <w:rFonts w:hint="eastAsia"/>
          <w:spacing w:val="-4"/>
          <w:kern w:val="0"/>
          <w:vertAlign w:val="superscript"/>
        </w:rPr>
        <w:t>＊</w:t>
      </w:r>
      <w:r>
        <w:rPr>
          <w:rFonts w:hint="eastAsia"/>
          <w:color w:val="000000" w:themeColor="text1"/>
          <w:kern w:val="0"/>
        </w:rPr>
        <w:t>など、地域の様々な資源を組み合わせることによって、本人の育ちを支え、家族を支援する取組が必要です。</w:t>
      </w:r>
    </w:p>
    <w:p>
      <w:pPr>
        <w:pStyle w:val="0"/>
        <w:autoSpaceDE w:val="0"/>
        <w:autoSpaceDN w:val="0"/>
        <w:adjustRightInd w:val="0"/>
        <w:spacing w:line="360" w:lineRule="exact"/>
        <w:jc w:val="left"/>
        <w:rPr>
          <w:rFonts w:hint="default"/>
          <w:color w:val="000000" w:themeColor="text1"/>
        </w:rPr>
      </w:pPr>
    </w:p>
    <w:p>
      <w:pPr>
        <w:pStyle w:val="0"/>
        <w:numPr>
          <w:ilvl w:val="0"/>
          <w:numId w:val="29"/>
        </w:numPr>
        <w:autoSpaceDE w:val="0"/>
        <w:autoSpaceDN w:val="0"/>
        <w:adjustRightInd w:val="0"/>
        <w:spacing w:line="360" w:lineRule="exact"/>
        <w:ind w:left="573" w:hanging="357"/>
        <w:jc w:val="left"/>
        <w:rPr>
          <w:rFonts w:hint="default"/>
        </w:rPr>
      </w:pPr>
      <w:r>
        <w:rPr>
          <w:rFonts w:hint="eastAsia"/>
        </w:rPr>
        <w:t>障害のある子どもの多くが保育所等を利用しているため、適切な療育が受けられるよう、施設に対する専門的支援が必要です。</w:t>
      </w:r>
    </w:p>
    <w:p>
      <w:pPr>
        <w:pStyle w:val="0"/>
        <w:autoSpaceDE w:val="0"/>
        <w:autoSpaceDN w:val="0"/>
        <w:adjustRightInd w:val="0"/>
        <w:spacing w:line="360" w:lineRule="exact"/>
        <w:ind w:left="573"/>
        <w:jc w:val="left"/>
        <w:rPr>
          <w:rFonts w:hint="default"/>
        </w:rPr>
      </w:pPr>
    </w:p>
    <w:p>
      <w:pPr>
        <w:pStyle w:val="0"/>
        <w:numPr>
          <w:ilvl w:val="0"/>
          <w:numId w:val="29"/>
        </w:numPr>
        <w:autoSpaceDE w:val="0"/>
        <w:autoSpaceDN w:val="0"/>
        <w:adjustRightInd w:val="0"/>
        <w:spacing w:line="360" w:lineRule="exact"/>
        <w:ind w:left="573" w:hanging="357"/>
        <w:jc w:val="left"/>
        <w:rPr>
          <w:rFonts w:hint="default"/>
        </w:rPr>
      </w:pPr>
      <w:r>
        <w:rPr>
          <w:rFonts w:hint="eastAsia"/>
          <w:kern w:val="0"/>
        </w:rPr>
        <w:t>家庭で十分な養育や療育支援を受けることができない障害のある子ども（要保護児童・要支援児童）については、迅速に家族支援を行</w:t>
      </w:r>
      <w:r>
        <w:rPr>
          <w:rFonts w:hint="eastAsia"/>
        </w:rPr>
        <w:t>い、</w:t>
      </w:r>
      <w:r>
        <w:rPr>
          <w:rFonts w:hint="eastAsia"/>
          <w:kern w:val="0"/>
        </w:rPr>
        <w:t>社会的養</w:t>
      </w:r>
      <w:r>
        <w:rPr>
          <w:rFonts w:hint="eastAsia"/>
        </w:rPr>
        <w:t>育</w:t>
      </w:r>
      <w:r>
        <w:rPr>
          <w:rFonts w:hint="eastAsia"/>
          <w:kern w:val="0"/>
        </w:rPr>
        <w:t>につなげることが必要です。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numPr>
          <w:ilvl w:val="0"/>
          <w:numId w:val="113"/>
        </w:numPr>
        <w:autoSpaceDE w:val="0"/>
        <w:autoSpaceDN w:val="0"/>
        <w:adjustRightInd w:val="0"/>
        <w:spacing w:line="360" w:lineRule="exact"/>
        <w:ind w:left="573" w:hanging="357"/>
        <w:jc w:val="left"/>
        <w:rPr>
          <w:rFonts w:hint="default"/>
          <w:color w:val="000000" w:themeColor="text1"/>
          <w:spacing w:val="-4"/>
          <w:kern w:val="0"/>
          <w:sz w:val="16"/>
        </w:rPr>
      </w:pPr>
      <w:r>
        <w:rPr>
          <w:rFonts w:hint="eastAsia"/>
          <w:color w:val="000000" w:themeColor="text1"/>
          <w:kern w:val="0"/>
        </w:rPr>
        <w:t>発達障害</w:t>
      </w:r>
      <w:r>
        <w:rPr>
          <w:rFonts w:hint="eastAsia"/>
          <w:spacing w:val="-4"/>
          <w:kern w:val="0"/>
          <w:vertAlign w:val="superscript"/>
        </w:rPr>
        <w:t>＊</w:t>
      </w:r>
      <w:r>
        <w:rPr>
          <w:rFonts w:hint="eastAsia"/>
          <w:color w:val="000000" w:themeColor="text1"/>
          <w:kern w:val="0"/>
        </w:rPr>
        <w:t>のある子どもやその家族が、身近な地域で安心して必要な在宅サービスや発達相談、指導を受けられるよう、児童発達支援事業</w:t>
      </w:r>
      <w:r>
        <w:rPr>
          <w:rFonts w:hint="eastAsia"/>
          <w:color w:val="000000" w:themeColor="text1"/>
          <w:spacing w:val="-4"/>
          <w:kern w:val="0"/>
          <w:vertAlign w:val="superscript"/>
        </w:rPr>
        <w:t>＊</w:t>
      </w:r>
      <w:r>
        <w:rPr>
          <w:rFonts w:hint="eastAsia"/>
          <w:color w:val="000000" w:themeColor="text1"/>
          <w:kern w:val="0"/>
        </w:rPr>
        <w:t>及び家族等支援事業</w:t>
      </w:r>
      <w:r>
        <w:rPr>
          <w:rFonts w:hint="eastAsia"/>
          <w:color w:val="000000" w:themeColor="text1"/>
          <w:spacing w:val="-4"/>
          <w:kern w:val="0"/>
          <w:vertAlign w:val="superscript"/>
        </w:rPr>
        <w:t>＊</w:t>
      </w:r>
      <w:r>
        <w:rPr>
          <w:rFonts w:hint="eastAsia"/>
          <w:color w:val="000000" w:themeColor="text1"/>
          <w:kern w:val="0"/>
        </w:rPr>
        <w:t>などの事業を充実します。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ind w:left="573"/>
        <w:jc w:val="left"/>
        <w:rPr>
          <w:rFonts w:hint="default"/>
          <w:color w:val="000000" w:themeColor="text1"/>
          <w:spacing w:val="-4"/>
          <w:kern w:val="0"/>
          <w:sz w:val="16"/>
        </w:rPr>
      </w:pPr>
    </w:p>
    <w:p>
      <w:pPr>
        <w:pStyle w:val="0"/>
        <w:numPr>
          <w:ilvl w:val="0"/>
          <w:numId w:val="113"/>
        </w:numPr>
        <w:autoSpaceDE w:val="0"/>
        <w:autoSpaceDN w:val="0"/>
        <w:adjustRightInd w:val="0"/>
        <w:spacing w:line="360" w:lineRule="exact"/>
        <w:ind w:left="573" w:hanging="357"/>
        <w:jc w:val="left"/>
        <w:rPr>
          <w:rFonts w:hint="default"/>
          <w:color w:val="000000" w:themeColor="text1"/>
          <w:spacing w:val="-4"/>
          <w:kern w:val="0"/>
        </w:rPr>
      </w:pPr>
      <w:r>
        <w:rPr>
          <w:rFonts w:hint="eastAsia"/>
          <w:color w:val="000000" w:themeColor="text1"/>
          <w:kern w:val="0"/>
        </w:rPr>
        <w:t>医療・福祉・教育・労働等の関係機関や当事者団体、支援機関等で構成される静岡県発達障害者支援地域協議会により、障害のある子どもの地域療育支援体制を推進します。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numPr>
          <w:numId w:val="0"/>
        </w:numPr>
        <w:autoSpaceDE w:val="0"/>
        <w:autoSpaceDN w:val="0"/>
        <w:adjustRightInd w:val="0"/>
        <w:spacing w:line="360" w:lineRule="exact"/>
        <w:ind w:left="573" w:leftChars="0" w:firstLine="0" w:firstLineChars="0"/>
        <w:jc w:val="left"/>
        <w:rPr>
          <w:rFonts w:hint="default"/>
          <w:color w:val="000000" w:themeColor="text1"/>
          <w:spacing w:val="-4"/>
          <w:kern w:val="0"/>
        </w:rPr>
      </w:pPr>
    </w:p>
    <w:p>
      <w:pPr>
        <w:pStyle w:val="0"/>
        <w:numPr>
          <w:ilvl w:val="0"/>
          <w:numId w:val="113"/>
        </w:numPr>
        <w:autoSpaceDE w:val="0"/>
        <w:autoSpaceDN w:val="0"/>
        <w:adjustRightInd w:val="0"/>
        <w:spacing w:line="360" w:lineRule="exact"/>
        <w:ind w:left="573" w:hanging="357"/>
        <w:jc w:val="left"/>
        <w:rPr>
          <w:rFonts w:hint="default"/>
        </w:rPr>
      </w:pPr>
      <w:r>
        <w:rPr>
          <w:rFonts w:hint="eastAsia"/>
          <w:color w:val="000000" w:themeColor="text1"/>
          <w:kern w:val="0"/>
        </w:rPr>
        <w:t>通所機能、相談機能、障害のある児童の通う保育所等を支援するアウトリーチ機能を備えた地域における身近な療育機関である</w:t>
      </w:r>
      <w:r>
        <w:rPr>
          <w:rFonts w:hint="eastAsia"/>
          <w:kern w:val="0"/>
        </w:rPr>
        <w:t>児童発達支援センター</w:t>
      </w:r>
      <w:r>
        <w:rPr>
          <w:rFonts w:hint="eastAsia"/>
          <w:spacing w:val="-4"/>
          <w:kern w:val="0"/>
          <w:vertAlign w:val="superscript"/>
        </w:rPr>
        <w:t>＊</w:t>
      </w:r>
      <w:r>
        <w:rPr>
          <w:rFonts w:hint="eastAsia"/>
          <w:kern w:val="0"/>
        </w:rPr>
        <w:t>を中核とした重層的な地域支援体制の構築を図ります。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rPr>
      </w:pPr>
    </w:p>
    <w:p>
      <w:pPr>
        <w:pStyle w:val="0"/>
        <w:numPr>
          <w:ilvl w:val="0"/>
          <w:numId w:val="113"/>
        </w:numPr>
        <w:autoSpaceDE w:val="0"/>
        <w:autoSpaceDN w:val="0"/>
        <w:adjustRightInd w:val="0"/>
        <w:spacing w:line="360" w:lineRule="exact"/>
        <w:ind w:left="573" w:hanging="357"/>
        <w:jc w:val="left"/>
        <w:rPr>
          <w:rFonts w:hint="default"/>
        </w:rPr>
      </w:pPr>
      <w:r>
        <w:rPr>
          <w:rFonts w:hint="eastAsia"/>
        </w:rPr>
        <w:t>保育所等が行う障害児保育を支援するため、県内の全市町において、保育所等訪問支援が提供できる体制を整備します。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rPr>
      </w:pPr>
    </w:p>
    <w:p>
      <w:pPr>
        <w:pStyle w:val="0"/>
        <w:numPr>
          <w:ilvl w:val="0"/>
          <w:numId w:val="113"/>
        </w:numPr>
        <w:autoSpaceDE w:val="0"/>
        <w:autoSpaceDN w:val="0"/>
        <w:adjustRightInd w:val="0"/>
        <w:spacing w:line="360" w:lineRule="exact"/>
        <w:ind w:left="573" w:hanging="357"/>
        <w:jc w:val="left"/>
        <w:rPr>
          <w:rFonts w:hint="default"/>
        </w:rPr>
      </w:pPr>
      <w:r>
        <w:rPr>
          <w:rFonts w:hint="eastAsia"/>
          <w:spacing w:val="-4"/>
          <w:kern w:val="0"/>
        </w:rPr>
        <w:t>国が策定した障害児支援の基本的事項である「放課後等デイサービスガイドライン」及び「児童発達支援ガイドライン」の順守の徹底を図ります。</w:t>
      </w:r>
      <w:r>
        <w:rPr>
          <w:rFonts w:hint="eastAsia"/>
          <w:spacing w:val="-4"/>
          <w:kern w:val="0"/>
          <w:sz w:val="16"/>
        </w:rPr>
        <w:t>[</w:t>
      </w:r>
      <w:r>
        <w:rPr>
          <w:rFonts w:hint="eastAsia"/>
          <w:spacing w:val="-4"/>
          <w:kern w:val="0"/>
          <w:sz w:val="16"/>
        </w:rPr>
        <w:t>健康福祉部福祉長寿局</w:t>
      </w:r>
      <w:r>
        <w:rPr>
          <w:rFonts w:hint="eastAsia"/>
          <w:spacing w:val="-4"/>
          <w:kern w:val="0"/>
          <w:sz w:val="16"/>
        </w:rPr>
        <w:t>]</w:t>
      </w:r>
    </w:p>
    <w:p>
      <w:pPr>
        <w:pStyle w:val="0"/>
        <w:autoSpaceDE w:val="0"/>
        <w:autoSpaceDN w:val="0"/>
        <w:adjustRightInd w:val="0"/>
        <w:spacing w:line="360" w:lineRule="exact"/>
        <w:jc w:val="left"/>
        <w:rPr>
          <w:rFonts w:hint="default"/>
        </w:rPr>
      </w:pPr>
    </w:p>
    <w:p>
      <w:pPr>
        <w:pStyle w:val="0"/>
        <w:numPr>
          <w:ilvl w:val="0"/>
          <w:numId w:val="113"/>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障害のある子どもの生活の質（</w:t>
      </w:r>
      <w:r>
        <w:rPr>
          <w:rFonts w:hint="eastAsia"/>
          <w:color w:val="000000" w:themeColor="text1"/>
          <w:kern w:val="0"/>
        </w:rPr>
        <w:t>QOL</w:t>
      </w:r>
      <w:r>
        <w:rPr>
          <w:rFonts w:hint="eastAsia"/>
          <w:color w:val="000000" w:themeColor="text1"/>
          <w:kern w:val="0"/>
        </w:rPr>
        <w:t>）の充実のため、特別な支援を必要とする幼児児童生徒に対し、個別の教育支援計画を策定し、関係機関等で情報共有することを推進します。</w:t>
      </w:r>
      <w:r>
        <w:rPr>
          <w:rFonts w:hint="eastAsia"/>
          <w:color w:val="000000" w:themeColor="text1"/>
          <w:spacing w:val="-4"/>
          <w:kern w:val="0"/>
          <w:sz w:val="16"/>
        </w:rPr>
        <w:t>[</w:t>
      </w:r>
      <w:r>
        <w:rPr>
          <w:rFonts w:hint="eastAsia"/>
          <w:color w:val="000000" w:themeColor="text1"/>
          <w:spacing w:val="-4"/>
          <w:kern w:val="0"/>
          <w:sz w:val="16"/>
        </w:rPr>
        <w:t>教育委員会</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rPr>
      </w:pPr>
    </w:p>
    <w:p>
      <w:pPr>
        <w:pStyle w:val="0"/>
        <w:numPr>
          <w:ilvl w:val="0"/>
          <w:numId w:val="113"/>
        </w:numPr>
        <w:autoSpaceDE w:val="0"/>
        <w:autoSpaceDN w:val="0"/>
        <w:adjustRightInd w:val="0"/>
        <w:spacing w:line="360" w:lineRule="exact"/>
        <w:ind w:left="573" w:hanging="357"/>
        <w:jc w:val="left"/>
        <w:rPr>
          <w:rFonts w:hint="default"/>
        </w:rPr>
      </w:pPr>
      <w:r>
        <w:rPr>
          <w:rFonts w:hint="eastAsia"/>
          <w:color w:val="000000" w:themeColor="text1"/>
          <w:kern w:val="0"/>
        </w:rPr>
        <w:t>家庭では療育が難しい子どもについては、</w:t>
      </w:r>
      <w:r>
        <w:rPr>
          <w:rFonts w:hint="eastAsia"/>
          <w:kern w:val="0"/>
        </w:rPr>
        <w:t>障害児入所施設や児童養護施設などにおける保護・支援を行います。また、</w:t>
      </w:r>
      <w:r>
        <w:rPr>
          <w:rFonts w:hint="eastAsia"/>
        </w:rPr>
        <w:t>強度行動障害児</w:t>
      </w:r>
      <w:r>
        <w:rPr>
          <w:rFonts w:hint="eastAsia"/>
          <w:kern w:val="0"/>
          <w:vertAlign w:val="superscript"/>
        </w:rPr>
        <w:t>＊</w:t>
      </w:r>
      <w:r>
        <w:rPr>
          <w:rFonts w:hint="eastAsia"/>
        </w:rPr>
        <w:t>や被虐待児など、他の施設では療育が難しい子どもについては、県立磐田学園や県立吉原林間学園で入所支援を実施するとともに、県内施設等への援助技術の普及を図ります。</w:t>
      </w:r>
      <w:r>
        <w:rPr>
          <w:rFonts w:hint="eastAsia"/>
          <w:sz w:val="16"/>
        </w:rPr>
        <w:t>[</w:t>
      </w:r>
      <w:r>
        <w:rPr>
          <w:rFonts w:hint="eastAsia"/>
          <w:sz w:val="16"/>
        </w:rPr>
        <w:t>健康福祉部障害者支援局</w:t>
      </w:r>
      <w:r>
        <w:rPr>
          <w:rFonts w:hint="eastAsia"/>
          <w:sz w:val="16"/>
        </w:rPr>
        <w:t>]</w:t>
      </w:r>
      <w:r>
        <w:rPr>
          <w:rFonts w:hint="eastAsia"/>
          <w:sz w:val="16"/>
        </w:rPr>
        <w:t>、</w:t>
      </w:r>
      <w:r>
        <w:rPr>
          <w:rFonts w:hint="eastAsia"/>
          <w:sz w:val="16"/>
        </w:rPr>
        <w:t>[</w:t>
      </w:r>
      <w:r>
        <w:rPr>
          <w:rFonts w:hint="eastAsia"/>
          <w:sz w:val="16"/>
        </w:rPr>
        <w:t>健康福祉部こども未来局</w:t>
      </w:r>
      <w:r>
        <w:rPr>
          <w:rFonts w:hint="eastAsia"/>
          <w:sz w:val="16"/>
        </w:rPr>
        <w:t>]</w:t>
      </w:r>
    </w:p>
    <w:p>
      <w:pPr>
        <w:pStyle w:val="0"/>
        <w:autoSpaceDE w:val="0"/>
        <w:autoSpaceDN w:val="0"/>
        <w:adjustRightInd w:val="0"/>
        <w:spacing w:line="360" w:lineRule="exact"/>
        <w:jc w:val="left"/>
        <w:rPr>
          <w:rFonts w:hint="default"/>
        </w:rPr>
      </w:pPr>
    </w:p>
    <w:p>
      <w:pPr>
        <w:pStyle w:val="0"/>
        <w:autoSpaceDE w:val="0"/>
        <w:autoSpaceDN w:val="0"/>
        <w:adjustRightInd w:val="0"/>
        <w:jc w:val="left"/>
        <w:rPr>
          <w:rFonts w:hint="default"/>
        </w:rPr>
      </w:pPr>
      <w:r>
        <w:rPr>
          <w:rFonts w:hint="eastAsia" w:ascii="ＭＳ ゴシック" w:hAnsi="ＭＳ ゴシック" w:eastAsia="ＭＳ ゴシック"/>
        </w:rPr>
        <w:t>【数値目標】</w:t>
      </w:r>
    </w:p>
    <w:tbl>
      <w:tblPr>
        <w:tblStyle w:val="11"/>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4"/>
        <w:gridCol w:w="4871"/>
        <w:gridCol w:w="2245"/>
        <w:gridCol w:w="2245"/>
      </w:tblGrid>
      <w:tr>
        <w:trPr>
          <w:trHeight w:val="215"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指　　　　　　　　標</w:t>
            </w:r>
          </w:p>
        </w:tc>
        <w:tc>
          <w:tcPr>
            <w:tcW w:w="224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center"/>
              <w:rPr>
                <w:rFonts w:hint="default"/>
              </w:rPr>
            </w:pPr>
            <w:r>
              <w:rPr>
                <w:rFonts w:hint="eastAsia"/>
              </w:rPr>
              <w:t>現状値</w:t>
            </w:r>
          </w:p>
        </w:tc>
        <w:tc>
          <w:tcPr>
            <w:tcW w:w="2245" w:type="dxa"/>
            <w:vAlign w:val="center"/>
          </w:tcPr>
          <w:p>
            <w:pPr>
              <w:pStyle w:val="0"/>
              <w:jc w:val="center"/>
              <w:rPr>
                <w:rFonts w:hint="default"/>
              </w:rPr>
            </w:pPr>
            <w:r>
              <w:rPr>
                <w:rFonts w:hint="eastAsia"/>
              </w:rPr>
              <w:t>目標値</w:t>
            </w:r>
          </w:p>
        </w:tc>
      </w:tr>
      <w:tr>
        <w:trPr>
          <w:trHeight w:val="358"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default"/>
                <w:spacing w:val="-4"/>
                <w:kern w:val="0"/>
              </w:rPr>
            </w:pPr>
            <w:r>
              <w:rPr>
                <w:rFonts w:hint="eastAsia"/>
                <w:spacing w:val="-4"/>
                <w:kern w:val="0"/>
              </w:rPr>
              <w:t>児童発達支援センター</w:t>
            </w:r>
            <w:r>
              <w:rPr>
                <w:rFonts w:hint="eastAsia"/>
                <w:spacing w:val="-4"/>
                <w:kern w:val="0"/>
                <w:vertAlign w:val="superscript"/>
              </w:rPr>
              <w:t>＊</w:t>
            </w:r>
            <w:r>
              <w:rPr>
                <w:rFonts w:hint="eastAsia"/>
                <w:spacing w:val="-4"/>
                <w:kern w:val="0"/>
              </w:rPr>
              <w:t>設置市町数</w:t>
            </w:r>
          </w:p>
        </w:tc>
        <w:tc>
          <w:tcPr>
            <w:tcW w:w="224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21</w:t>
            </w:r>
            <w:r>
              <w:rPr>
                <w:rFonts w:hint="eastAsia"/>
                <w:color w:val="000000" w:themeColor="text1"/>
              </w:rPr>
              <w:t>市町</w:t>
            </w:r>
          </w:p>
        </w:tc>
        <w:tc>
          <w:tcPr>
            <w:tcW w:w="2245"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2022</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政令市除く全市町</w:t>
            </w:r>
          </w:p>
        </w:tc>
      </w:tr>
    </w:tbl>
    <w:p>
      <w:pPr>
        <w:pStyle w:val="0"/>
        <w:ind w:left="480" w:hanging="480" w:hangingChars="200"/>
        <w:outlineLvl w:val="1"/>
        <w:rPr>
          <w:rFonts w:hint="default" w:ascii="ＭＳ ゴシック" w:hAnsi="ＭＳ ゴシック" w:eastAsia="ＭＳ ゴシック"/>
          <w:sz w:val="26"/>
          <w:u w:val="single" w:color="auto"/>
        </w:rPr>
      </w:pPr>
      <w:r>
        <w:rPr>
          <w:rFonts w:hint="eastAsia"/>
        </w:rPr>
        <w:br w:type="page"/>
      </w:r>
      <w:bookmarkStart w:id="134" w:name="_Toc503474096"/>
      <w:bookmarkEnd w:id="134"/>
      <w:r>
        <w:rPr>
          <w:rFonts w:hint="eastAsia" w:ascii="ＭＳ ゴシック" w:hAnsi="ＭＳ ゴシック" w:eastAsia="ＭＳ ゴシック"/>
          <w:sz w:val="26"/>
          <w:u w:val="single" w:color="auto"/>
        </w:rPr>
        <w:t>２　教育の振興</w:t>
      </w:r>
    </w:p>
    <w:p>
      <w:pPr>
        <w:pStyle w:val="0"/>
        <w:outlineLvl w:val="2"/>
        <w:rPr>
          <w:rFonts w:hint="default" w:ascii="ＭＳ ゴシック" w:hAnsi="ＭＳ ゴシック" w:eastAsia="ＭＳ ゴシック"/>
        </w:rPr>
      </w:pPr>
      <w:bookmarkStart w:id="135" w:name="_Toc503474097"/>
      <w:bookmarkEnd w:id="135"/>
      <w:r>
        <w:rPr>
          <w:rFonts w:hint="eastAsia" w:ascii="ＭＳ ゴシック" w:hAnsi="ＭＳ ゴシック" w:eastAsia="ＭＳ ゴシック"/>
        </w:rPr>
        <w:t>（１）インクルーシブ教育システム</w:t>
      </w:r>
      <w:r>
        <w:rPr>
          <w:rFonts w:hint="eastAsia"/>
          <w:kern w:val="0"/>
          <w:vertAlign w:val="superscript"/>
        </w:rPr>
        <w:t>＊</w:t>
      </w:r>
      <w:r>
        <w:rPr>
          <w:rFonts w:hint="eastAsia" w:ascii="ＭＳ ゴシック" w:hAnsi="ＭＳ ゴシック" w:eastAsia="ＭＳ ゴシック"/>
        </w:rPr>
        <w:t>の推進と教育相談体制の充実</w:t>
      </w:r>
    </w:p>
    <w:p>
      <w:pPr>
        <w:pStyle w:val="0"/>
        <w:rPr>
          <w:rFonts w:hint="default"/>
        </w:rPr>
      </w:pPr>
      <w:r>
        <w:rPr>
          <w:rFonts w:hint="eastAsia" w:ascii="ＭＳ ゴシック" w:hAnsi="ＭＳ ゴシック" w:eastAsia="ＭＳ ゴシック"/>
        </w:rPr>
        <w:t>【現状と課題】</w:t>
      </w:r>
    </w:p>
    <w:p>
      <w:pPr>
        <w:pStyle w:val="0"/>
        <w:numPr>
          <w:ilvl w:val="0"/>
          <w:numId w:val="114"/>
        </w:numPr>
        <w:autoSpaceDE w:val="0"/>
        <w:autoSpaceDN w:val="0"/>
        <w:adjustRightInd w:val="0"/>
        <w:spacing w:line="360" w:lineRule="exact"/>
        <w:ind w:left="573" w:hanging="357"/>
        <w:jc w:val="left"/>
        <w:rPr>
          <w:rFonts w:hint="default"/>
          <w:color w:val="000000" w:themeColor="text1"/>
        </w:rPr>
      </w:pPr>
      <w:r>
        <w:rPr>
          <w:rFonts w:hint="eastAsia"/>
          <w:kern w:val="0"/>
        </w:rPr>
        <w:t>障害者基本法では、</w:t>
      </w:r>
      <w:r>
        <w:rPr>
          <w:rFonts w:hint="eastAsia"/>
          <w:color w:val="000000" w:themeColor="text1"/>
          <w:kern w:val="0"/>
        </w:rPr>
        <w:t>「障害者である児童及び生徒が障害者でない児童及び生徒と共に教育を受けられるよう配慮し」とうたっており、インクルーシブ教育システムの推進が求められています。</w:t>
      </w:r>
    </w:p>
    <w:p>
      <w:pPr>
        <w:pStyle w:val="0"/>
        <w:autoSpaceDE w:val="0"/>
        <w:autoSpaceDN w:val="0"/>
        <w:adjustRightInd w:val="0"/>
        <w:spacing w:line="360" w:lineRule="exact"/>
        <w:ind w:left="573"/>
        <w:jc w:val="left"/>
        <w:rPr>
          <w:rFonts w:hint="default"/>
          <w:color w:val="000000" w:themeColor="text1"/>
        </w:rPr>
      </w:pPr>
    </w:p>
    <w:p>
      <w:pPr>
        <w:pStyle w:val="0"/>
        <w:numPr>
          <w:ilvl w:val="0"/>
          <w:numId w:val="29"/>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「障害のある方の実態調査」（</w:t>
      </w:r>
      <w:r>
        <w:rPr>
          <w:rFonts w:hint="eastAsia"/>
          <w:color w:val="000000" w:themeColor="text1"/>
          <w:kern w:val="0"/>
        </w:rPr>
        <w:t>2020</w:t>
      </w:r>
      <w:r>
        <w:rPr>
          <w:rFonts w:hint="eastAsia"/>
          <w:color w:val="000000" w:themeColor="text1"/>
          <w:kern w:val="0"/>
        </w:rPr>
        <w:t>年度）によると、通園・通学している障害のある人のうち、小中学校の通常学級に通学していると回答した人は</w:t>
      </w:r>
      <w:r>
        <w:rPr>
          <w:rFonts w:hint="eastAsia"/>
          <w:color w:val="000000" w:themeColor="text1"/>
          <w:kern w:val="0"/>
        </w:rPr>
        <w:t>13.2</w:t>
      </w:r>
      <w:r>
        <w:rPr>
          <w:rFonts w:hint="eastAsia"/>
          <w:color w:val="000000" w:themeColor="text1"/>
          <w:kern w:val="0"/>
        </w:rPr>
        <w:t>％、小中学校の特別支援学級は</w:t>
      </w:r>
      <w:r>
        <w:rPr>
          <w:rFonts w:hint="eastAsia"/>
          <w:color w:val="000000" w:themeColor="text1"/>
          <w:kern w:val="0"/>
        </w:rPr>
        <w:t>21.1</w:t>
      </w:r>
      <w:r>
        <w:rPr>
          <w:rFonts w:hint="eastAsia"/>
          <w:color w:val="000000" w:themeColor="text1"/>
          <w:kern w:val="0"/>
        </w:rPr>
        <w:t>％、特別支援学校</w:t>
      </w:r>
      <w:r>
        <w:rPr>
          <w:rFonts w:hint="eastAsia"/>
          <w:color w:val="000000" w:themeColor="text1"/>
          <w:spacing w:val="-4"/>
          <w:kern w:val="0"/>
          <w:vertAlign w:val="superscript"/>
        </w:rPr>
        <w:t>＊</w:t>
      </w:r>
      <w:r>
        <w:rPr>
          <w:rFonts w:hint="eastAsia"/>
          <w:color w:val="000000" w:themeColor="text1"/>
          <w:kern w:val="0"/>
        </w:rPr>
        <w:t>の小中学部は</w:t>
      </w:r>
      <w:r>
        <w:rPr>
          <w:rFonts w:hint="eastAsia"/>
          <w:color w:val="000000" w:themeColor="text1"/>
          <w:kern w:val="0"/>
        </w:rPr>
        <w:t>29.0</w:t>
      </w:r>
      <w:r>
        <w:rPr>
          <w:rFonts w:hint="eastAsia"/>
          <w:color w:val="000000" w:themeColor="text1"/>
          <w:kern w:val="0"/>
        </w:rPr>
        <w:t>％となっています。</w:t>
      </w:r>
    </w:p>
    <w:p>
      <w:pPr>
        <w:pStyle w:val="0"/>
        <w:autoSpaceDE w:val="0"/>
        <w:autoSpaceDN w:val="0"/>
        <w:adjustRightInd w:val="0"/>
        <w:spacing w:line="360" w:lineRule="exact"/>
        <w:ind w:left="573"/>
        <w:jc w:val="left"/>
        <w:rPr>
          <w:rFonts w:hint="default"/>
          <w:color w:val="000000" w:themeColor="text1"/>
        </w:rPr>
      </w:pPr>
    </w:p>
    <w:p>
      <w:pPr>
        <w:pStyle w:val="0"/>
        <w:numPr>
          <w:ilvl w:val="0"/>
          <w:numId w:val="29"/>
        </w:numPr>
        <w:autoSpaceDE w:val="0"/>
        <w:autoSpaceDN w:val="0"/>
        <w:adjustRightInd w:val="0"/>
        <w:spacing w:line="360" w:lineRule="exact"/>
        <w:ind w:left="573" w:hanging="357"/>
        <w:jc w:val="left"/>
        <w:rPr>
          <w:rFonts w:hint="default"/>
        </w:rPr>
      </w:pPr>
      <w:r>
        <w:rPr>
          <w:rFonts w:hint="eastAsia"/>
          <w:color w:val="000000" w:themeColor="text1"/>
          <w:kern w:val="0"/>
        </w:rPr>
        <w:t>誰もが利用しやすい施設・設備と教育環境の整備を進めるとともに、児童生徒や保護者の希望、教育的ニーズに的確に応えられる就学に対する相談体制を充実させることが必要です。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ア　インクルーシブ教育システムの推進</w:t>
      </w:r>
    </w:p>
    <w:p>
      <w:pPr>
        <w:pStyle w:val="0"/>
        <w:numPr>
          <w:ilvl w:val="0"/>
          <w:numId w:val="115"/>
        </w:numPr>
        <w:autoSpaceDE w:val="0"/>
        <w:autoSpaceDN w:val="0"/>
        <w:adjustRightInd w:val="0"/>
        <w:spacing w:line="360" w:lineRule="exact"/>
        <w:jc w:val="left"/>
        <w:rPr>
          <w:rFonts w:hint="default"/>
          <w:spacing w:val="-4"/>
          <w:kern w:val="0"/>
        </w:rPr>
      </w:pPr>
      <w:r>
        <w:rPr>
          <w:rFonts w:hint="eastAsia"/>
          <w:kern w:val="0"/>
        </w:rPr>
        <w:t>小中学校、高等学校等の教員に対して特別支援教育に関する理解促進研修等を実施します。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115"/>
        </w:numPr>
        <w:autoSpaceDE w:val="0"/>
        <w:autoSpaceDN w:val="0"/>
        <w:adjustRightInd w:val="0"/>
        <w:spacing w:line="360" w:lineRule="exact"/>
        <w:jc w:val="left"/>
        <w:rPr>
          <w:rFonts w:hint="default"/>
        </w:rPr>
      </w:pPr>
      <w:r>
        <w:rPr>
          <w:rFonts w:hint="eastAsia"/>
          <w:kern w:val="0"/>
        </w:rPr>
        <w:t>障害のある子どもに対し、通常学級をはじめ、特別支援学級や通級指導教室</w:t>
      </w:r>
      <w:r>
        <w:rPr>
          <w:rFonts w:hint="eastAsia"/>
          <w:spacing w:val="-4"/>
          <w:kern w:val="0"/>
          <w:vertAlign w:val="superscript"/>
        </w:rPr>
        <w:t>＊</w:t>
      </w:r>
      <w:r>
        <w:rPr>
          <w:rFonts w:hint="eastAsia"/>
          <w:kern w:val="0"/>
        </w:rPr>
        <w:t>など多様な教育の場において個に応じた指導の充実を図るよう、市町に働き掛けます。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jc w:val="left"/>
        <w:rPr>
          <w:rFonts w:hint="default"/>
        </w:rPr>
      </w:pPr>
    </w:p>
    <w:p>
      <w:pPr>
        <w:pStyle w:val="0"/>
        <w:numPr>
          <w:ilvl w:val="0"/>
          <w:numId w:val="115"/>
        </w:numPr>
        <w:autoSpaceDE w:val="0"/>
        <w:autoSpaceDN w:val="0"/>
        <w:adjustRightInd w:val="0"/>
        <w:spacing w:line="360" w:lineRule="exact"/>
        <w:jc w:val="left"/>
        <w:rPr>
          <w:rFonts w:hint="default"/>
          <w:color w:val="000000" w:themeColor="text1"/>
          <w:spacing w:val="-4"/>
          <w:kern w:val="0"/>
        </w:rPr>
      </w:pPr>
      <w:r>
        <w:rPr>
          <w:rFonts w:hint="eastAsia"/>
          <w:color w:val="000000" w:themeColor="text1"/>
          <w:kern w:val="0"/>
        </w:rPr>
        <w:t>小中学校に在籍する障害のある児童生徒に対し、生活面や学習活動を支援するための会計年度任用職員を配置します。</w:t>
      </w:r>
      <w:r>
        <w:rPr>
          <w:rFonts w:hint="eastAsia"/>
          <w:color w:val="000000" w:themeColor="text1"/>
          <w:spacing w:val="-4"/>
          <w:kern w:val="0"/>
          <w:sz w:val="16"/>
        </w:rPr>
        <w:t>[</w:t>
      </w:r>
      <w:r>
        <w:rPr>
          <w:rFonts w:hint="eastAsia"/>
          <w:color w:val="000000" w:themeColor="text1"/>
          <w:spacing w:val="-4"/>
          <w:kern w:val="0"/>
          <w:sz w:val="16"/>
        </w:rPr>
        <w:t>教育委員会</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spacing w:val="-4"/>
          <w:kern w:val="0"/>
        </w:rPr>
      </w:pPr>
    </w:p>
    <w:p>
      <w:pPr>
        <w:pStyle w:val="0"/>
        <w:numPr>
          <w:ilvl w:val="0"/>
          <w:numId w:val="115"/>
        </w:numPr>
        <w:autoSpaceDE w:val="0"/>
        <w:autoSpaceDN w:val="0"/>
        <w:adjustRightInd w:val="0"/>
        <w:spacing w:line="360" w:lineRule="exact"/>
        <w:jc w:val="left"/>
        <w:rPr>
          <w:rFonts w:hint="default"/>
          <w:color w:val="000000" w:themeColor="text1"/>
          <w:spacing w:val="-4"/>
          <w:kern w:val="0"/>
        </w:rPr>
      </w:pPr>
      <w:r>
        <w:rPr>
          <w:rFonts w:hint="eastAsia"/>
          <w:color w:val="000000" w:themeColor="text1"/>
          <w:kern w:val="0"/>
        </w:rPr>
        <w:t>障害のある子どもの受け入れをしている私立の幼稚園、小中学校及び高等学校を支援します。</w:t>
      </w:r>
      <w:r>
        <w:rPr>
          <w:rFonts w:hint="eastAsia"/>
          <w:color w:val="000000" w:themeColor="text1"/>
          <w:spacing w:val="-4"/>
          <w:kern w:val="0"/>
          <w:sz w:val="16"/>
        </w:rPr>
        <w:t>[</w:t>
      </w:r>
      <w:r>
        <w:rPr>
          <w:rFonts w:hint="eastAsia"/>
          <w:color w:val="000000" w:themeColor="text1"/>
          <w:spacing w:val="-4"/>
          <w:kern w:val="0"/>
          <w:sz w:val="16"/>
        </w:rPr>
        <w:t>スポーツ・文化観光部総合教育局</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spacing w:val="-4"/>
          <w:kern w:val="0"/>
        </w:rPr>
      </w:pPr>
    </w:p>
    <w:p>
      <w:pPr>
        <w:pStyle w:val="0"/>
        <w:numPr>
          <w:ilvl w:val="0"/>
          <w:numId w:val="115"/>
        </w:numPr>
        <w:autoSpaceDE w:val="0"/>
        <w:autoSpaceDN w:val="0"/>
        <w:adjustRightInd w:val="0"/>
        <w:spacing w:line="360" w:lineRule="exact"/>
        <w:jc w:val="left"/>
        <w:rPr>
          <w:rFonts w:hint="default"/>
          <w:color w:val="000000" w:themeColor="text1"/>
        </w:rPr>
      </w:pPr>
      <w:r>
        <w:rPr>
          <w:rFonts w:hint="eastAsia"/>
          <w:color w:val="000000" w:themeColor="text1"/>
          <w:kern w:val="0"/>
        </w:rPr>
        <w:t>個々の児童生徒の障害の種類や程度、特性に応じた教育を充実するため、個々の実態を的確に把握し、個別の教育支援計画や個別の指導計画の作成について、市町や県立高等学校に対して助言します。</w:t>
      </w:r>
      <w:r>
        <w:rPr>
          <w:rFonts w:hint="eastAsia"/>
          <w:color w:val="000000" w:themeColor="text1"/>
          <w:spacing w:val="-4"/>
          <w:kern w:val="0"/>
          <w:sz w:val="16"/>
        </w:rPr>
        <w:t>[</w:t>
      </w:r>
      <w:r>
        <w:rPr>
          <w:rFonts w:hint="eastAsia"/>
          <w:color w:val="000000" w:themeColor="text1"/>
          <w:spacing w:val="-4"/>
          <w:kern w:val="0"/>
          <w:sz w:val="16"/>
        </w:rPr>
        <w:t>教育委員会</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rPr>
      </w:pPr>
    </w:p>
    <w:p>
      <w:pPr>
        <w:pStyle w:val="0"/>
        <w:numPr>
          <w:ilvl w:val="0"/>
          <w:numId w:val="115"/>
        </w:numPr>
        <w:autoSpaceDE w:val="0"/>
        <w:autoSpaceDN w:val="0"/>
        <w:adjustRightInd w:val="0"/>
        <w:spacing w:line="360" w:lineRule="exact"/>
        <w:jc w:val="left"/>
        <w:rPr>
          <w:rFonts w:hint="default"/>
          <w:spacing w:val="-4"/>
          <w:kern w:val="0"/>
        </w:rPr>
      </w:pPr>
      <w:r>
        <w:rPr>
          <w:rFonts w:hint="eastAsia"/>
          <w:color w:val="000000" w:themeColor="text1"/>
          <w:kern w:val="0"/>
        </w:rPr>
        <w:t>学校生活を安心して過ごせるよう、学校施設のユニバーサルデザイン</w:t>
      </w:r>
      <w:r>
        <w:rPr>
          <w:rFonts w:hint="eastAsia"/>
          <w:color w:val="000000" w:themeColor="text1"/>
          <w:spacing w:val="-4"/>
          <w:kern w:val="0"/>
          <w:vertAlign w:val="superscript"/>
        </w:rPr>
        <w:t>＊</w:t>
      </w:r>
      <w:r>
        <w:rPr>
          <w:rFonts w:hint="eastAsia"/>
          <w:color w:val="000000" w:themeColor="text1"/>
          <w:kern w:val="0"/>
        </w:rPr>
        <w:t>化を進めます。</w:t>
      </w:r>
      <w:r>
        <w:rPr>
          <w:rFonts w:hint="eastAsia"/>
          <w:color w:val="000000" w:themeColor="text1"/>
          <w:spacing w:val="-4"/>
          <w:kern w:val="0"/>
          <w:sz w:val="16"/>
        </w:rPr>
        <w:t>[</w:t>
      </w:r>
      <w:r>
        <w:rPr>
          <w:rFonts w:hint="eastAsia"/>
          <w:color w:val="000000" w:themeColor="text1"/>
          <w:spacing w:val="-4"/>
          <w:kern w:val="0"/>
          <w:sz w:val="16"/>
        </w:rPr>
        <w:t>スポーツ・文化観光部</w:t>
      </w:r>
      <w:r>
        <w:rPr>
          <w:rFonts w:hint="eastAsia"/>
          <w:spacing w:val="-4"/>
          <w:kern w:val="0"/>
          <w:sz w:val="16"/>
        </w:rPr>
        <w:t>総合教育局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jc w:val="left"/>
        <w:rPr>
          <w:rFonts w:hint="default"/>
          <w:spacing w:val="-4"/>
          <w:kern w:val="0"/>
        </w:rPr>
      </w:pPr>
    </w:p>
    <w:p>
      <w:pPr>
        <w:pStyle w:val="0"/>
        <w:numPr>
          <w:ilvl w:val="0"/>
          <w:numId w:val="115"/>
        </w:numPr>
        <w:autoSpaceDE w:val="0"/>
        <w:autoSpaceDN w:val="0"/>
        <w:adjustRightInd w:val="0"/>
        <w:spacing w:line="360" w:lineRule="exact"/>
        <w:jc w:val="left"/>
        <w:rPr>
          <w:rFonts w:hint="default"/>
          <w:spacing w:val="-4"/>
          <w:kern w:val="0"/>
        </w:rPr>
      </w:pPr>
      <w:r>
        <w:rPr>
          <w:rFonts w:hint="eastAsia"/>
          <w:kern w:val="0"/>
        </w:rPr>
        <w:t>特別支援学級の児童生徒に対する理解を深め、お互いの個性を認め合える環境づくりを進めるため、校内や地域の人々との交流を促進します。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numPr>
          <w:numId w:val="0"/>
        </w:numPr>
        <w:autoSpaceDE w:val="0"/>
        <w:autoSpaceDN w:val="0"/>
        <w:adjustRightInd w:val="0"/>
        <w:spacing w:line="360" w:lineRule="exact"/>
        <w:ind w:left="868" w:leftChars="0" w:firstLine="0" w:firstLineChars="0"/>
        <w:jc w:val="left"/>
        <w:rPr>
          <w:rFonts w:hint="default"/>
          <w:spacing w:val="-4"/>
          <w:kern w:val="0"/>
        </w:rPr>
      </w:pPr>
    </w:p>
    <w:p>
      <w:pPr>
        <w:pStyle w:val="0"/>
        <w:spacing w:line="360" w:lineRule="exact"/>
        <w:ind w:left="492" w:leftChars="105" w:hanging="240" w:hangingChars="100"/>
        <w:rPr>
          <w:rFonts w:hint="default" w:ascii="ＭＳ ゴシック" w:hAnsi="ＭＳ ゴシック" w:eastAsia="ＭＳ ゴシック"/>
        </w:rPr>
      </w:pPr>
      <w:r>
        <w:rPr>
          <w:rFonts w:hint="eastAsia" w:ascii="ＭＳ ゴシック" w:hAnsi="ＭＳ ゴシック" w:eastAsia="ＭＳ ゴシック"/>
        </w:rPr>
        <w:t>イ　教育相談の充実</w:t>
      </w:r>
    </w:p>
    <w:p>
      <w:pPr>
        <w:pStyle w:val="0"/>
        <w:numPr>
          <w:ilvl w:val="0"/>
          <w:numId w:val="116"/>
        </w:numPr>
        <w:autoSpaceDE w:val="0"/>
        <w:autoSpaceDN w:val="0"/>
        <w:adjustRightInd w:val="0"/>
        <w:spacing w:line="360" w:lineRule="exact"/>
        <w:jc w:val="left"/>
        <w:rPr>
          <w:rFonts w:hint="default"/>
          <w:spacing w:val="-4"/>
          <w:kern w:val="0"/>
          <w:sz w:val="16"/>
        </w:rPr>
      </w:pPr>
      <w:r>
        <w:rPr>
          <w:rFonts w:hint="eastAsia"/>
          <w:kern w:val="0"/>
        </w:rPr>
        <w:t>就学前の幼児を対象にした巡回教育相談等により、個々の教育的ニーズに応じた就学を推進するよう、市町に働き掛けます。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116"/>
        </w:numPr>
        <w:autoSpaceDE w:val="0"/>
        <w:autoSpaceDN w:val="0"/>
        <w:adjustRightInd w:val="0"/>
        <w:spacing w:line="360" w:lineRule="exact"/>
        <w:jc w:val="left"/>
        <w:rPr>
          <w:rFonts w:hint="default"/>
        </w:rPr>
      </w:pPr>
      <w:r>
        <w:rPr>
          <w:rFonts w:hint="eastAsia"/>
          <w:kern w:val="0"/>
        </w:rPr>
        <w:t>県総合教育センター等で行っている教育相談を充実するとともに、保健・医療・福祉関係機関との連携の強化を図ります。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jc w:val="left"/>
        <w:rPr>
          <w:rFonts w:hint="default"/>
        </w:rPr>
      </w:pPr>
    </w:p>
    <w:p>
      <w:pPr>
        <w:pStyle w:val="0"/>
        <w:autoSpaceDE w:val="0"/>
        <w:autoSpaceDN w:val="0"/>
        <w:adjustRightInd w:val="0"/>
        <w:jc w:val="left"/>
        <w:rPr>
          <w:rFonts w:hint="default"/>
        </w:rPr>
      </w:pPr>
      <w:r>
        <w:rPr>
          <w:rFonts w:hint="eastAsia" w:ascii="ＭＳ ゴシック" w:hAnsi="ＭＳ ゴシック" w:eastAsia="ＭＳ ゴシック"/>
        </w:rPr>
        <w:t>【数値目標】</w:t>
      </w:r>
    </w:p>
    <w:tbl>
      <w:tblPr>
        <w:tblStyle w:val="11"/>
        <w:tblW w:w="9714"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39"/>
        <w:gridCol w:w="4885"/>
        <w:gridCol w:w="2195"/>
        <w:gridCol w:w="2195"/>
      </w:tblGrid>
      <w:tr>
        <w:trPr>
          <w:trHeight w:val="164" w:hRule="atLeast"/>
        </w:trPr>
        <w:tc>
          <w:tcPr>
            <w:tcW w:w="439"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p>
        </w:tc>
        <w:tc>
          <w:tcPr>
            <w:tcW w:w="4885"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指　　　　　　　　標</w:t>
            </w:r>
          </w:p>
        </w:tc>
        <w:tc>
          <w:tcPr>
            <w:tcW w:w="219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center"/>
              <w:rPr>
                <w:rFonts w:hint="default"/>
              </w:rPr>
            </w:pPr>
            <w:r>
              <w:rPr>
                <w:rFonts w:hint="eastAsia"/>
              </w:rPr>
              <w:t>現状値</w:t>
            </w:r>
          </w:p>
        </w:tc>
        <w:tc>
          <w:tcPr>
            <w:tcW w:w="2195" w:type="dxa"/>
            <w:vAlign w:val="center"/>
          </w:tcPr>
          <w:p>
            <w:pPr>
              <w:pStyle w:val="0"/>
              <w:jc w:val="center"/>
              <w:rPr>
                <w:rFonts w:hint="default"/>
              </w:rPr>
            </w:pPr>
            <w:r>
              <w:rPr>
                <w:rFonts w:hint="eastAsia"/>
              </w:rPr>
              <w:t>目標値</w:t>
            </w:r>
          </w:p>
        </w:tc>
      </w:tr>
      <w:tr>
        <w:trPr>
          <w:trHeight w:val="326" w:hRule="atLeast"/>
        </w:trPr>
        <w:tc>
          <w:tcPr>
            <w:tcW w:w="439"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１</w:t>
            </w:r>
          </w:p>
        </w:tc>
        <w:tc>
          <w:tcPr>
            <w:tcW w:w="4885"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特別支援教育に関する校内研修を実施した学校の割合</w:t>
            </w:r>
          </w:p>
        </w:tc>
        <w:tc>
          <w:tcPr>
            <w:tcW w:w="219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ind w:firstLine="240" w:firstLineChars="100"/>
              <w:jc w:val="center"/>
              <w:rPr>
                <w:rFonts w:hint="default"/>
                <w:color w:val="000000" w:themeColor="text1"/>
              </w:rPr>
            </w:pPr>
            <w:r>
              <w:rPr>
                <w:rFonts w:hint="eastAsia"/>
                <w:color w:val="000000" w:themeColor="text1"/>
              </w:rPr>
              <w:t>(2020</w:t>
            </w:r>
            <w:r>
              <w:rPr>
                <w:rFonts w:hint="eastAsia"/>
                <w:color w:val="000000" w:themeColor="text1"/>
              </w:rPr>
              <w:t>年度）</w:t>
            </w:r>
          </w:p>
          <w:p>
            <w:pPr>
              <w:pStyle w:val="0"/>
              <w:spacing w:line="360" w:lineRule="exact"/>
              <w:ind w:firstLine="240" w:firstLineChars="100"/>
              <w:jc w:val="center"/>
              <w:rPr>
                <w:rFonts w:hint="default"/>
                <w:color w:val="000000" w:themeColor="text1"/>
              </w:rPr>
            </w:pPr>
            <w:r>
              <w:rPr>
                <w:rFonts w:hint="eastAsia"/>
                <w:color w:val="000000" w:themeColor="text1"/>
              </w:rPr>
              <w:t>小学校　</w:t>
            </w:r>
            <w:r>
              <w:rPr>
                <w:rFonts w:hint="eastAsia"/>
                <w:color w:val="000000" w:themeColor="text1"/>
              </w:rPr>
              <w:t>99.4</w:t>
            </w:r>
            <w:r>
              <w:rPr>
                <w:rFonts w:hint="eastAsia"/>
                <w:color w:val="000000" w:themeColor="text1"/>
              </w:rPr>
              <w:t>％</w:t>
            </w:r>
          </w:p>
          <w:p>
            <w:pPr>
              <w:pStyle w:val="0"/>
              <w:spacing w:line="360" w:lineRule="exact"/>
              <w:ind w:firstLine="240" w:firstLineChars="100"/>
              <w:jc w:val="center"/>
              <w:rPr>
                <w:rFonts w:hint="default"/>
                <w:color w:val="000000" w:themeColor="text1"/>
              </w:rPr>
            </w:pPr>
            <w:r>
              <w:rPr>
                <w:rFonts w:hint="eastAsia"/>
                <w:color w:val="000000" w:themeColor="text1"/>
              </w:rPr>
              <w:t>中学校　</w:t>
            </w:r>
            <w:r>
              <w:rPr>
                <w:rFonts w:hint="eastAsia"/>
                <w:color w:val="000000" w:themeColor="text1"/>
              </w:rPr>
              <w:t>98.8</w:t>
            </w:r>
            <w:r>
              <w:rPr>
                <w:rFonts w:hint="eastAsia"/>
                <w:color w:val="000000" w:themeColor="text1"/>
              </w:rPr>
              <w:t>％</w:t>
            </w:r>
          </w:p>
          <w:p>
            <w:pPr>
              <w:pStyle w:val="0"/>
              <w:spacing w:line="360" w:lineRule="exact"/>
              <w:ind w:firstLine="240" w:firstLineChars="100"/>
              <w:jc w:val="center"/>
              <w:rPr>
                <w:rFonts w:hint="default"/>
                <w:color w:val="000000" w:themeColor="text1"/>
              </w:rPr>
            </w:pPr>
            <w:r>
              <w:rPr>
                <w:rFonts w:hint="eastAsia"/>
                <w:color w:val="000000" w:themeColor="text1"/>
              </w:rPr>
              <w:t>高等学校</w:t>
            </w:r>
            <w:r>
              <w:rPr>
                <w:rFonts w:hint="eastAsia"/>
                <w:color w:val="000000" w:themeColor="text1"/>
              </w:rPr>
              <w:t>92.2</w:t>
            </w:r>
            <w:r>
              <w:rPr>
                <w:rFonts w:hint="eastAsia"/>
                <w:color w:val="000000" w:themeColor="text1"/>
              </w:rPr>
              <w:t>％</w:t>
            </w:r>
          </w:p>
        </w:tc>
        <w:tc>
          <w:tcPr>
            <w:tcW w:w="2195" w:type="dxa"/>
            <w:vAlign w:val="center"/>
          </w:tcPr>
          <w:p>
            <w:pPr>
              <w:pStyle w:val="0"/>
              <w:spacing w:line="360" w:lineRule="exact"/>
              <w:ind w:firstLine="77" w:firstLineChars="32"/>
              <w:jc w:val="center"/>
              <w:rPr>
                <w:rFonts w:hint="default"/>
                <w:color w:val="000000" w:themeColor="text1"/>
              </w:rPr>
            </w:pPr>
            <w:r>
              <w:rPr>
                <w:rFonts w:hint="eastAsia"/>
                <w:color w:val="000000" w:themeColor="text1"/>
              </w:rPr>
              <w:t>（</w:t>
            </w:r>
            <w:r>
              <w:rPr>
                <w:rFonts w:hint="eastAsia"/>
                <w:color w:val="000000" w:themeColor="text1"/>
              </w:rPr>
              <w:t>2025</w:t>
            </w:r>
            <w:r>
              <w:rPr>
                <w:rFonts w:hint="eastAsia"/>
                <w:color w:val="000000" w:themeColor="text1"/>
              </w:rPr>
              <w:t>年度）</w:t>
            </w:r>
          </w:p>
          <w:p>
            <w:pPr>
              <w:pStyle w:val="0"/>
              <w:spacing w:line="360" w:lineRule="exact"/>
              <w:ind w:firstLine="240" w:firstLineChars="100"/>
              <w:jc w:val="center"/>
              <w:rPr>
                <w:rFonts w:hint="default"/>
                <w:color w:val="000000" w:themeColor="text1"/>
              </w:rPr>
            </w:pPr>
            <w:r>
              <w:rPr>
                <w:rFonts w:hint="eastAsia"/>
                <w:color w:val="000000" w:themeColor="text1"/>
              </w:rPr>
              <w:t>100</w:t>
            </w:r>
            <w:r>
              <w:rPr>
                <w:rFonts w:hint="eastAsia"/>
                <w:color w:val="000000" w:themeColor="text1"/>
              </w:rPr>
              <w:t>％</w:t>
            </w:r>
          </w:p>
        </w:tc>
      </w:tr>
      <w:tr>
        <w:trPr>
          <w:trHeight w:val="500" w:hRule="atLeast"/>
        </w:trPr>
        <w:tc>
          <w:tcPr>
            <w:tcW w:w="439" w:type="dxa"/>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default"/>
              </w:rPr>
            </w:pPr>
            <w:r>
              <w:rPr>
                <w:rFonts w:hint="eastAsia"/>
              </w:rPr>
              <w:t>２</w:t>
            </w:r>
          </w:p>
        </w:tc>
        <w:tc>
          <w:tcPr>
            <w:tcW w:w="4885"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特別な支援が必要な幼児児童生徒のうち個別の指導計画が作成されている人数の割合</w:t>
            </w:r>
          </w:p>
        </w:tc>
        <w:tc>
          <w:tcPr>
            <w:tcW w:w="219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ind w:firstLine="240" w:firstLineChars="100"/>
              <w:jc w:val="center"/>
              <w:rPr>
                <w:rFonts w:hint="default"/>
                <w:color w:val="000000" w:themeColor="text1"/>
              </w:rPr>
            </w:pPr>
            <w:r>
              <w:rPr>
                <w:rFonts w:hint="eastAsia"/>
                <w:color w:val="000000" w:themeColor="text1"/>
              </w:rPr>
              <w:t>(2018</w:t>
            </w:r>
            <w:r>
              <w:rPr>
                <w:rFonts w:hint="eastAsia"/>
                <w:color w:val="000000" w:themeColor="text1"/>
              </w:rPr>
              <w:t>年度）</w:t>
            </w:r>
          </w:p>
          <w:p>
            <w:pPr>
              <w:pStyle w:val="0"/>
              <w:spacing w:line="360" w:lineRule="exact"/>
              <w:ind w:firstLine="240" w:firstLineChars="100"/>
              <w:jc w:val="center"/>
              <w:rPr>
                <w:rFonts w:hint="default"/>
                <w:color w:val="000000" w:themeColor="text1"/>
              </w:rPr>
            </w:pPr>
            <w:r>
              <w:rPr>
                <w:rFonts w:hint="eastAsia"/>
                <w:color w:val="000000" w:themeColor="text1"/>
              </w:rPr>
              <w:t>幼稚園　</w:t>
            </w:r>
            <w:r>
              <w:rPr>
                <w:rFonts w:hint="eastAsia"/>
                <w:color w:val="000000" w:themeColor="text1"/>
              </w:rPr>
              <w:t>93.6</w:t>
            </w:r>
            <w:r>
              <w:rPr>
                <w:rFonts w:hint="eastAsia"/>
                <w:color w:val="000000" w:themeColor="text1"/>
              </w:rPr>
              <w:t>％</w:t>
            </w:r>
          </w:p>
          <w:p>
            <w:pPr>
              <w:pStyle w:val="0"/>
              <w:spacing w:line="360" w:lineRule="exact"/>
              <w:ind w:firstLine="240" w:firstLineChars="100"/>
              <w:jc w:val="center"/>
              <w:rPr>
                <w:rFonts w:hint="default"/>
                <w:color w:val="000000" w:themeColor="text1"/>
              </w:rPr>
            </w:pPr>
            <w:r>
              <w:rPr>
                <w:rFonts w:hint="eastAsia"/>
                <w:color w:val="000000" w:themeColor="text1"/>
              </w:rPr>
              <w:t>小学校　</w:t>
            </w:r>
            <w:r>
              <w:rPr>
                <w:rFonts w:hint="eastAsia"/>
                <w:color w:val="000000" w:themeColor="text1"/>
              </w:rPr>
              <w:t>90.3</w:t>
            </w:r>
            <w:r>
              <w:rPr>
                <w:rFonts w:hint="eastAsia"/>
                <w:color w:val="000000" w:themeColor="text1"/>
              </w:rPr>
              <w:t>％</w:t>
            </w:r>
          </w:p>
          <w:p>
            <w:pPr>
              <w:pStyle w:val="0"/>
              <w:spacing w:line="360" w:lineRule="exact"/>
              <w:ind w:firstLine="240" w:firstLineChars="100"/>
              <w:jc w:val="center"/>
              <w:rPr>
                <w:rFonts w:hint="default"/>
                <w:color w:val="000000" w:themeColor="text1"/>
              </w:rPr>
            </w:pPr>
            <w:r>
              <w:rPr>
                <w:rFonts w:hint="eastAsia"/>
                <w:color w:val="000000" w:themeColor="text1"/>
              </w:rPr>
              <w:t>中学校　</w:t>
            </w:r>
            <w:r>
              <w:rPr>
                <w:rFonts w:hint="eastAsia"/>
                <w:color w:val="000000" w:themeColor="text1"/>
              </w:rPr>
              <w:t>89.1</w:t>
            </w:r>
            <w:r>
              <w:rPr>
                <w:rFonts w:hint="eastAsia"/>
                <w:color w:val="000000" w:themeColor="text1"/>
              </w:rPr>
              <w:t>％</w:t>
            </w:r>
          </w:p>
          <w:p>
            <w:pPr>
              <w:pStyle w:val="0"/>
              <w:spacing w:line="360" w:lineRule="exact"/>
              <w:ind w:firstLine="240" w:firstLineChars="100"/>
              <w:jc w:val="center"/>
              <w:rPr>
                <w:rFonts w:hint="default"/>
                <w:color w:val="000000" w:themeColor="text1"/>
              </w:rPr>
            </w:pPr>
            <w:r>
              <w:rPr>
                <w:rFonts w:hint="eastAsia"/>
                <w:color w:val="000000" w:themeColor="text1"/>
              </w:rPr>
              <w:t>高等学校</w:t>
            </w:r>
            <w:r>
              <w:rPr>
                <w:rFonts w:hint="eastAsia"/>
                <w:color w:val="000000" w:themeColor="text1"/>
              </w:rPr>
              <w:t>49.6</w:t>
            </w:r>
            <w:r>
              <w:rPr>
                <w:rFonts w:hint="eastAsia"/>
                <w:color w:val="000000" w:themeColor="text1"/>
              </w:rPr>
              <w:t>％</w:t>
            </w:r>
          </w:p>
        </w:tc>
        <w:tc>
          <w:tcPr>
            <w:tcW w:w="2195" w:type="dxa"/>
            <w:vAlign w:val="center"/>
          </w:tcPr>
          <w:p>
            <w:pPr>
              <w:pStyle w:val="0"/>
              <w:spacing w:line="360" w:lineRule="exact"/>
              <w:ind w:firstLine="77" w:firstLineChars="32"/>
              <w:jc w:val="center"/>
              <w:rPr>
                <w:rFonts w:hint="default"/>
                <w:color w:val="000000" w:themeColor="text1"/>
              </w:rPr>
            </w:pPr>
            <w:r>
              <w:rPr>
                <w:rFonts w:hint="eastAsia"/>
                <w:color w:val="000000" w:themeColor="text1"/>
              </w:rPr>
              <w:t>(2025</w:t>
            </w:r>
            <w:r>
              <w:rPr>
                <w:rFonts w:hint="eastAsia"/>
                <w:color w:val="000000" w:themeColor="text1"/>
              </w:rPr>
              <w:t>年度）</w:t>
            </w:r>
          </w:p>
          <w:p>
            <w:pPr>
              <w:pStyle w:val="0"/>
              <w:spacing w:line="360" w:lineRule="exact"/>
              <w:ind w:firstLine="77" w:firstLineChars="32"/>
              <w:jc w:val="center"/>
              <w:rPr>
                <w:rFonts w:hint="default"/>
                <w:color w:val="000000" w:themeColor="text1"/>
              </w:rPr>
            </w:pPr>
            <w:r>
              <w:rPr>
                <w:rFonts w:hint="eastAsia"/>
                <w:color w:val="000000" w:themeColor="text1"/>
              </w:rPr>
              <w:t>幼稚園　</w:t>
            </w:r>
            <w:r>
              <w:rPr>
                <w:rFonts w:hint="eastAsia"/>
                <w:color w:val="000000" w:themeColor="text1"/>
              </w:rPr>
              <w:t>100</w:t>
            </w:r>
            <w:r>
              <w:rPr>
                <w:rFonts w:hint="eastAsia"/>
                <w:color w:val="000000" w:themeColor="text1"/>
              </w:rPr>
              <w:t>％</w:t>
            </w:r>
          </w:p>
          <w:p>
            <w:pPr>
              <w:pStyle w:val="0"/>
              <w:spacing w:line="360" w:lineRule="exact"/>
              <w:ind w:firstLine="77" w:firstLineChars="32"/>
              <w:jc w:val="center"/>
              <w:rPr>
                <w:rFonts w:hint="default"/>
                <w:color w:val="000000" w:themeColor="text1"/>
              </w:rPr>
            </w:pPr>
            <w:r>
              <w:rPr>
                <w:rFonts w:hint="eastAsia"/>
                <w:color w:val="000000" w:themeColor="text1"/>
              </w:rPr>
              <w:t>小学校　</w:t>
            </w:r>
            <w:r>
              <w:rPr>
                <w:rFonts w:hint="eastAsia"/>
                <w:color w:val="000000" w:themeColor="text1"/>
              </w:rPr>
              <w:t>100</w:t>
            </w:r>
            <w:r>
              <w:rPr>
                <w:rFonts w:hint="eastAsia"/>
                <w:color w:val="000000" w:themeColor="text1"/>
              </w:rPr>
              <w:t>％</w:t>
            </w:r>
          </w:p>
          <w:p>
            <w:pPr>
              <w:pStyle w:val="0"/>
              <w:spacing w:line="360" w:lineRule="exact"/>
              <w:ind w:firstLine="77" w:firstLineChars="32"/>
              <w:jc w:val="center"/>
              <w:rPr>
                <w:rFonts w:hint="default"/>
                <w:color w:val="000000" w:themeColor="text1"/>
              </w:rPr>
            </w:pPr>
            <w:r>
              <w:rPr>
                <w:rFonts w:hint="eastAsia"/>
                <w:color w:val="000000" w:themeColor="text1"/>
              </w:rPr>
              <w:t>中学校　</w:t>
            </w:r>
            <w:r>
              <w:rPr>
                <w:rFonts w:hint="eastAsia"/>
                <w:color w:val="000000" w:themeColor="text1"/>
              </w:rPr>
              <w:t>100</w:t>
            </w:r>
            <w:r>
              <w:rPr>
                <w:rFonts w:hint="eastAsia"/>
                <w:color w:val="000000" w:themeColor="text1"/>
              </w:rPr>
              <w:t>％</w:t>
            </w:r>
          </w:p>
          <w:p>
            <w:pPr>
              <w:pStyle w:val="0"/>
              <w:spacing w:line="360" w:lineRule="exact"/>
              <w:ind w:firstLine="77" w:firstLineChars="32"/>
              <w:jc w:val="center"/>
              <w:rPr>
                <w:rFonts w:hint="default"/>
                <w:color w:val="000000" w:themeColor="text1"/>
              </w:rPr>
            </w:pPr>
            <w:r>
              <w:rPr>
                <w:rFonts w:hint="eastAsia"/>
                <w:color w:val="000000" w:themeColor="text1"/>
              </w:rPr>
              <w:t>高等学校</w:t>
            </w:r>
            <w:r>
              <w:rPr>
                <w:rFonts w:hint="eastAsia"/>
                <w:color w:val="000000" w:themeColor="text1"/>
              </w:rPr>
              <w:t>75</w:t>
            </w:r>
            <w:r>
              <w:rPr>
                <w:rFonts w:hint="eastAsia"/>
                <w:color w:val="000000" w:themeColor="text1"/>
              </w:rPr>
              <w:t>％</w:t>
            </w:r>
          </w:p>
        </w:tc>
      </w:tr>
    </w:tbl>
    <w:p>
      <w:pPr>
        <w:pStyle w:val="0"/>
        <w:rPr>
          <w:rFonts w:hint="default"/>
        </w:rPr>
      </w:pPr>
    </w:p>
    <w:p>
      <w:pPr>
        <w:pStyle w:val="0"/>
        <w:outlineLvl w:val="2"/>
        <w:rPr>
          <w:rFonts w:hint="default" w:ascii="ＭＳ ゴシック" w:hAnsi="ＭＳ ゴシック" w:eastAsia="ＭＳ ゴシック"/>
        </w:rPr>
      </w:pPr>
      <w:bookmarkStart w:id="136" w:name="_Toc503474098"/>
      <w:bookmarkEnd w:id="136"/>
      <w:r>
        <w:rPr>
          <w:rFonts w:hint="eastAsia" w:ascii="ＭＳ ゴシック" w:hAnsi="ＭＳ ゴシック" w:eastAsia="ＭＳ ゴシック"/>
        </w:rPr>
        <w:t>（２）特別支援教育の充実</w:t>
      </w:r>
    </w:p>
    <w:p>
      <w:pPr>
        <w:pStyle w:val="0"/>
        <w:rPr>
          <w:rFonts w:hint="default"/>
        </w:rPr>
      </w:pPr>
      <w:r>
        <w:rPr>
          <w:rFonts w:hint="eastAsia" w:ascii="ＭＳ ゴシック" w:hAnsi="ＭＳ ゴシック" w:eastAsia="ＭＳ ゴシック"/>
        </w:rPr>
        <w:t>【現状と課題】</w:t>
      </w:r>
    </w:p>
    <w:p>
      <w:pPr>
        <w:pStyle w:val="0"/>
        <w:numPr>
          <w:ilvl w:val="0"/>
          <w:numId w:val="117"/>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視覚・聴覚においては超早期（０～２歳）からの切れ目ない支援が求められていることから、教育・医療・保健・福祉等における役割分担や情報共有等の連携が必要です。</w:t>
      </w:r>
    </w:p>
    <w:p>
      <w:pPr>
        <w:pStyle w:val="0"/>
        <w:autoSpaceDE w:val="0"/>
        <w:autoSpaceDN w:val="0"/>
        <w:adjustRightInd w:val="0"/>
        <w:spacing w:line="360" w:lineRule="exact"/>
        <w:ind w:left="573"/>
        <w:jc w:val="left"/>
        <w:rPr>
          <w:rFonts w:hint="default"/>
          <w:color w:val="000000" w:themeColor="text1"/>
        </w:rPr>
      </w:pPr>
    </w:p>
    <w:p>
      <w:pPr>
        <w:pStyle w:val="0"/>
        <w:numPr>
          <w:ilvl w:val="0"/>
          <w:numId w:val="29"/>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幼児児童生徒の「多様性」が唱えられる中、互いに尊重し認め合いつつ関わる中で、人間形成や自己形成の育成が重要です。</w:t>
      </w:r>
    </w:p>
    <w:p>
      <w:pPr>
        <w:pStyle w:val="0"/>
        <w:autoSpaceDE w:val="0"/>
        <w:autoSpaceDN w:val="0"/>
        <w:adjustRightInd w:val="0"/>
        <w:spacing w:line="360" w:lineRule="exact"/>
        <w:ind w:left="573"/>
        <w:jc w:val="left"/>
        <w:rPr>
          <w:rFonts w:hint="default"/>
          <w:color w:val="000000" w:themeColor="text1"/>
        </w:rPr>
      </w:pPr>
    </w:p>
    <w:p>
      <w:pPr>
        <w:pStyle w:val="0"/>
        <w:numPr>
          <w:ilvl w:val="0"/>
          <w:numId w:val="29"/>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幼児児童生徒の自立と社会参加を目指し、学校と福祉行政機関が連携を図り、指導や支援を充実させることが必要です。</w:t>
      </w:r>
    </w:p>
    <w:p>
      <w:pPr>
        <w:pStyle w:val="0"/>
        <w:autoSpaceDE w:val="0"/>
        <w:autoSpaceDN w:val="0"/>
        <w:adjustRightInd w:val="0"/>
        <w:spacing w:line="360" w:lineRule="exact"/>
        <w:jc w:val="left"/>
        <w:rPr>
          <w:rFonts w:hint="default"/>
          <w:color w:val="000000" w:themeColor="text1"/>
        </w:rPr>
      </w:pPr>
    </w:p>
    <w:p>
      <w:pPr>
        <w:pStyle w:val="0"/>
        <w:numPr>
          <w:ilvl w:val="0"/>
          <w:numId w:val="118"/>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2020</w:t>
      </w:r>
      <w:r>
        <w:rPr>
          <w:rFonts w:hint="eastAsia"/>
          <w:color w:val="000000" w:themeColor="text1"/>
        </w:rPr>
        <w:t>年度の特別支援学校</w:t>
      </w:r>
      <w:r>
        <w:rPr>
          <w:rFonts w:hint="eastAsia"/>
          <w:spacing w:val="-4"/>
          <w:kern w:val="0"/>
          <w:vertAlign w:val="superscript"/>
        </w:rPr>
        <w:t>＊</w:t>
      </w:r>
      <w:r>
        <w:rPr>
          <w:rFonts w:hint="eastAsia"/>
          <w:color w:val="000000" w:themeColor="text1"/>
        </w:rPr>
        <w:t>高等部３年生の６月の時点での、</w:t>
      </w:r>
      <w:r>
        <w:rPr>
          <w:rFonts w:hint="eastAsia"/>
          <w:color w:val="000000" w:themeColor="text1"/>
          <w:kern w:val="0"/>
        </w:rPr>
        <w:t>大学・短大・専門学校などへの進学を希望している人の割合は</w:t>
      </w:r>
      <w:r>
        <w:rPr>
          <w:rFonts w:hint="eastAsia"/>
          <w:color w:val="000000" w:themeColor="text1"/>
        </w:rPr>
        <w:t>2.1</w:t>
      </w:r>
      <w:r>
        <w:rPr>
          <w:rFonts w:hint="eastAsia"/>
          <w:color w:val="000000" w:themeColor="text1"/>
        </w:rPr>
        <w:t>％</w:t>
      </w:r>
      <w:r>
        <w:rPr>
          <w:rFonts w:hint="eastAsia"/>
          <w:color w:val="000000" w:themeColor="text1"/>
          <w:kern w:val="0"/>
        </w:rPr>
        <w:t>、就職を希望している人は</w:t>
      </w:r>
      <w:r>
        <w:rPr>
          <w:rFonts w:hint="eastAsia"/>
          <w:color w:val="000000" w:themeColor="text1"/>
        </w:rPr>
        <w:t>42.3</w:t>
      </w:r>
      <w:r>
        <w:rPr>
          <w:rFonts w:hint="eastAsia"/>
          <w:color w:val="000000" w:themeColor="text1"/>
        </w:rPr>
        <w:t>％</w:t>
      </w:r>
      <w:r>
        <w:rPr>
          <w:rFonts w:hint="eastAsia"/>
          <w:color w:val="000000" w:themeColor="text1"/>
          <w:kern w:val="0"/>
        </w:rPr>
        <w:t>、福祉施設への通所・入所を希望している人は</w:t>
      </w:r>
      <w:r>
        <w:rPr>
          <w:rFonts w:hint="eastAsia"/>
          <w:color w:val="000000" w:themeColor="text1"/>
        </w:rPr>
        <w:t>54.8</w:t>
      </w:r>
      <w:r>
        <w:rPr>
          <w:rFonts w:hint="eastAsia"/>
          <w:color w:val="000000" w:themeColor="text1"/>
        </w:rPr>
        <w:t>％</w:t>
      </w:r>
      <w:r>
        <w:rPr>
          <w:rFonts w:hint="eastAsia"/>
          <w:color w:val="000000" w:themeColor="text1"/>
          <w:kern w:val="0"/>
        </w:rPr>
        <w:t>など</w:t>
      </w:r>
      <w:r>
        <w:rPr>
          <w:rFonts w:hint="eastAsia"/>
          <w:color w:val="000000" w:themeColor="text1"/>
        </w:rPr>
        <w:t>、</w:t>
      </w:r>
      <w:r>
        <w:rPr>
          <w:rFonts w:hint="eastAsia"/>
          <w:color w:val="000000" w:themeColor="text1"/>
          <w:kern w:val="0"/>
        </w:rPr>
        <w:t>希望する進路は多岐にわたっています。</w:t>
      </w:r>
    </w:p>
    <w:p>
      <w:pPr>
        <w:pStyle w:val="0"/>
        <w:autoSpaceDE w:val="0"/>
        <w:autoSpaceDN w:val="0"/>
        <w:adjustRightInd w:val="0"/>
        <w:spacing w:line="360" w:lineRule="exact"/>
        <w:ind w:left="573"/>
        <w:jc w:val="left"/>
        <w:rPr>
          <w:rFonts w:hint="default"/>
          <w:color w:val="000000" w:themeColor="text1"/>
        </w:rPr>
      </w:pPr>
    </w:p>
    <w:p>
      <w:pPr>
        <w:pStyle w:val="0"/>
        <w:numPr>
          <w:ilvl w:val="0"/>
          <w:numId w:val="29"/>
        </w:numPr>
        <w:autoSpaceDE w:val="0"/>
        <w:autoSpaceDN w:val="0"/>
        <w:adjustRightInd w:val="0"/>
        <w:spacing w:line="360" w:lineRule="exact"/>
        <w:ind w:left="573" w:hanging="357"/>
        <w:jc w:val="left"/>
        <w:rPr>
          <w:rFonts w:hint="default"/>
          <w:kern w:val="0"/>
        </w:rPr>
      </w:pPr>
      <w:r>
        <w:rPr>
          <w:rFonts w:hint="eastAsia"/>
          <w:color w:val="000000" w:themeColor="text1"/>
          <w:kern w:val="0"/>
        </w:rPr>
        <w:t>特別支援学校</w:t>
      </w:r>
      <w:r>
        <w:rPr>
          <w:rFonts w:hint="eastAsia"/>
          <w:color w:val="000000" w:themeColor="text1"/>
          <w:spacing w:val="-4"/>
          <w:kern w:val="0"/>
          <w:vertAlign w:val="superscript"/>
        </w:rPr>
        <w:t>＊</w:t>
      </w:r>
      <w:r>
        <w:rPr>
          <w:rFonts w:hint="eastAsia"/>
          <w:color w:val="000000" w:themeColor="text1"/>
          <w:kern w:val="0"/>
        </w:rPr>
        <w:t>における</w:t>
      </w:r>
      <w:r>
        <w:rPr>
          <w:rFonts w:hint="eastAsia"/>
          <w:color w:val="000000" w:themeColor="text1"/>
          <w:kern w:val="0"/>
        </w:rPr>
        <w:t>2020</w:t>
      </w:r>
      <w:r>
        <w:rPr>
          <w:rFonts w:hint="eastAsia"/>
          <w:color w:val="000000" w:themeColor="text1"/>
          <w:kern w:val="0"/>
        </w:rPr>
        <w:t>年度の卒業生の一般就労率は</w:t>
      </w:r>
      <w:r>
        <w:rPr>
          <w:rFonts w:hint="eastAsia"/>
          <w:color w:val="000000" w:themeColor="text1"/>
          <w:kern w:val="0"/>
        </w:rPr>
        <w:t>37.5</w:t>
      </w:r>
      <w:r>
        <w:rPr>
          <w:rFonts w:hint="eastAsia"/>
          <w:color w:val="000000" w:themeColor="text1"/>
          <w:kern w:val="0"/>
        </w:rPr>
        <w:t>％であり、福祉的就労率は</w:t>
      </w:r>
      <w:r>
        <w:rPr>
          <w:rFonts w:hint="eastAsia"/>
          <w:color w:val="000000" w:themeColor="text1"/>
          <w:kern w:val="0"/>
        </w:rPr>
        <w:t>31.8</w:t>
      </w:r>
      <w:r>
        <w:rPr>
          <w:rFonts w:hint="eastAsia"/>
          <w:color w:val="000000" w:themeColor="text1"/>
          <w:kern w:val="0"/>
        </w:rPr>
        <w:t>％</w:t>
      </w:r>
      <w:r>
        <w:rPr>
          <w:rFonts w:hint="eastAsia"/>
          <w:kern w:val="0"/>
        </w:rPr>
        <w:t>となっています。</w:t>
      </w:r>
    </w:p>
    <w:p>
      <w:pPr>
        <w:pStyle w:val="0"/>
        <w:autoSpaceDE w:val="0"/>
        <w:autoSpaceDN w:val="0"/>
        <w:adjustRightInd w:val="0"/>
        <w:spacing w:line="360" w:lineRule="exact"/>
        <w:ind w:left="573"/>
        <w:jc w:val="left"/>
        <w:rPr>
          <w:rFonts w:hint="default"/>
          <w:kern w:val="0"/>
        </w:rPr>
      </w:pPr>
    </w:p>
    <w:p>
      <w:pPr>
        <w:pStyle w:val="0"/>
        <w:autoSpaceDE w:val="0"/>
        <w:autoSpaceDN w:val="0"/>
        <w:adjustRightInd w:val="0"/>
        <w:spacing w:line="360" w:lineRule="exact"/>
        <w:ind w:left="573"/>
        <w:jc w:val="left"/>
        <w:rPr>
          <w:rFonts w:hint="default"/>
          <w:kern w:val="0"/>
        </w:rPr>
      </w:pPr>
    </w:p>
    <w:p>
      <w:pPr>
        <w:pStyle w:val="0"/>
        <w:numPr>
          <w:ilvl w:val="0"/>
          <w:numId w:val="29"/>
        </w:numPr>
        <w:autoSpaceDE w:val="0"/>
        <w:autoSpaceDN w:val="0"/>
        <w:adjustRightInd w:val="0"/>
        <w:spacing w:line="360" w:lineRule="exact"/>
        <w:ind w:left="573" w:hanging="357"/>
        <w:jc w:val="left"/>
        <w:rPr>
          <w:rFonts w:hint="default"/>
          <w:kern w:val="0"/>
        </w:rPr>
      </w:pPr>
      <w:r>
        <w:rPr>
          <w:rFonts w:hint="eastAsia"/>
          <w:kern w:val="0"/>
        </w:rPr>
        <w:t>生徒がその能力・適性等に応じて進路を選択できるように、進路相談を含めたキャリア教育の充実が必要です。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ア　教育内容の充実</w:t>
      </w:r>
    </w:p>
    <w:p>
      <w:pPr>
        <w:pStyle w:val="0"/>
        <w:numPr>
          <w:ilvl w:val="0"/>
          <w:numId w:val="119"/>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kern w:val="0"/>
        </w:rPr>
        <w:t>幼児児童生徒一人一人の実態を把握し、教育内容・教育方法等の研究を行い、教育の充実に努めます。</w:t>
      </w:r>
      <w:r>
        <w:rPr>
          <w:rFonts w:hint="eastAsia"/>
          <w:color w:val="000000" w:themeColor="text1"/>
          <w:spacing w:val="-4"/>
          <w:kern w:val="0"/>
          <w:sz w:val="16"/>
        </w:rPr>
        <w:t>[</w:t>
      </w:r>
      <w:r>
        <w:rPr>
          <w:rFonts w:hint="eastAsia"/>
          <w:color w:val="000000" w:themeColor="text1"/>
          <w:spacing w:val="-4"/>
          <w:kern w:val="0"/>
          <w:sz w:val="16"/>
        </w:rPr>
        <w:t>教育委員会</w:t>
      </w:r>
      <w:r>
        <w:rPr>
          <w:rFonts w:hint="eastAsia"/>
          <w:color w:val="000000" w:themeColor="text1"/>
          <w:spacing w:val="-4"/>
          <w:kern w:val="0"/>
          <w:sz w:val="16"/>
        </w:rPr>
        <w:t>]</w:t>
      </w:r>
    </w:p>
    <w:p>
      <w:pPr>
        <w:pStyle w:val="0"/>
        <w:autoSpaceDE w:val="0"/>
        <w:autoSpaceDN w:val="0"/>
        <w:adjustRightInd w:val="0"/>
        <w:spacing w:line="360" w:lineRule="exact"/>
        <w:ind w:left="868"/>
        <w:jc w:val="left"/>
        <w:rPr>
          <w:rFonts w:hint="default"/>
          <w:color w:val="000000" w:themeColor="text1"/>
          <w:spacing w:val="-4"/>
          <w:kern w:val="0"/>
          <w:sz w:val="16"/>
        </w:rPr>
      </w:pPr>
    </w:p>
    <w:p>
      <w:pPr>
        <w:pStyle w:val="0"/>
        <w:numPr>
          <w:ilvl w:val="0"/>
          <w:numId w:val="119"/>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kern w:val="0"/>
        </w:rPr>
        <w:t>個々の児童生徒の障害の種類や程度、特性などに応じて、多様な教育内容や指導方法を用意するなど、きめ細かな指導に努めます。</w:t>
      </w:r>
      <w:r>
        <w:rPr>
          <w:rFonts w:hint="eastAsia"/>
          <w:color w:val="000000" w:themeColor="text1"/>
          <w:spacing w:val="-4"/>
          <w:kern w:val="0"/>
          <w:sz w:val="16"/>
        </w:rPr>
        <w:t>[</w:t>
      </w:r>
      <w:r>
        <w:rPr>
          <w:rFonts w:hint="eastAsia"/>
          <w:color w:val="000000" w:themeColor="text1"/>
          <w:spacing w:val="-4"/>
          <w:kern w:val="0"/>
          <w:sz w:val="16"/>
        </w:rPr>
        <w:t>教育委員会</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spacing w:val="-4"/>
          <w:kern w:val="0"/>
          <w:sz w:val="16"/>
        </w:rPr>
      </w:pPr>
    </w:p>
    <w:p>
      <w:pPr>
        <w:pStyle w:val="0"/>
        <w:numPr>
          <w:ilvl w:val="0"/>
          <w:numId w:val="119"/>
        </w:numPr>
        <w:autoSpaceDE w:val="0"/>
        <w:autoSpaceDN w:val="0"/>
        <w:adjustRightInd w:val="0"/>
        <w:spacing w:line="360" w:lineRule="exact"/>
        <w:jc w:val="left"/>
        <w:rPr>
          <w:rFonts w:hint="default"/>
        </w:rPr>
      </w:pPr>
      <w:r>
        <w:rPr>
          <w:rFonts w:hint="eastAsia"/>
          <w:color w:val="000000" w:themeColor="text1"/>
          <w:kern w:val="0"/>
        </w:rPr>
        <w:t>豊かな人間性、社会性を育むため、特別支援学校</w:t>
      </w:r>
      <w:r>
        <w:rPr>
          <w:rFonts w:hint="eastAsia"/>
          <w:color w:val="000000" w:themeColor="text1"/>
          <w:spacing w:val="-4"/>
          <w:kern w:val="0"/>
          <w:vertAlign w:val="superscript"/>
        </w:rPr>
        <w:t>＊</w:t>
      </w:r>
      <w:r>
        <w:rPr>
          <w:rFonts w:hint="eastAsia"/>
          <w:color w:val="000000" w:themeColor="text1"/>
          <w:kern w:val="0"/>
        </w:rPr>
        <w:t>の幼児児童生徒</w:t>
      </w:r>
      <w:r>
        <w:rPr>
          <w:rFonts w:hint="eastAsia"/>
          <w:kern w:val="0"/>
        </w:rPr>
        <w:t>に対して体験学習を実施します。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jc w:val="left"/>
        <w:rPr>
          <w:rFonts w:hint="default"/>
        </w:rPr>
      </w:pPr>
    </w:p>
    <w:p>
      <w:pPr>
        <w:pStyle w:val="0"/>
        <w:numPr>
          <w:ilvl w:val="0"/>
          <w:numId w:val="119"/>
        </w:numPr>
        <w:autoSpaceDE w:val="0"/>
        <w:autoSpaceDN w:val="0"/>
        <w:adjustRightInd w:val="0"/>
        <w:spacing w:line="360" w:lineRule="exact"/>
        <w:jc w:val="left"/>
        <w:rPr>
          <w:rFonts w:hint="default"/>
        </w:rPr>
      </w:pPr>
      <w:r>
        <w:rPr>
          <w:rFonts w:hint="eastAsia"/>
          <w:kern w:val="0"/>
        </w:rPr>
        <w:t>教職員に対する特別支援教育に関する研修を実施し、指導力の向上を図ります。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jc w:val="left"/>
        <w:rPr>
          <w:rFonts w:hint="default"/>
        </w:rPr>
      </w:pPr>
    </w:p>
    <w:p>
      <w:pPr>
        <w:pStyle w:val="0"/>
        <w:numPr>
          <w:ilvl w:val="0"/>
          <w:numId w:val="119"/>
        </w:numPr>
        <w:autoSpaceDE w:val="0"/>
        <w:autoSpaceDN w:val="0"/>
        <w:adjustRightInd w:val="0"/>
        <w:spacing w:line="360" w:lineRule="exact"/>
        <w:jc w:val="left"/>
        <w:rPr>
          <w:rFonts w:hint="default"/>
        </w:rPr>
      </w:pPr>
      <w:r>
        <w:rPr>
          <w:rFonts w:hint="eastAsia"/>
          <w:kern w:val="0"/>
        </w:rPr>
        <w:t>発達障害</w:t>
      </w:r>
      <w:r>
        <w:rPr>
          <w:rFonts w:hint="eastAsia"/>
          <w:spacing w:val="-4"/>
          <w:kern w:val="0"/>
          <w:vertAlign w:val="superscript"/>
        </w:rPr>
        <w:t>＊</w:t>
      </w:r>
      <w:r>
        <w:rPr>
          <w:rFonts w:hint="eastAsia"/>
          <w:kern w:val="0"/>
        </w:rPr>
        <w:t>に対する教職員の理解を深めるとともに、専門的な知識及び技術を修得するため、指導方法等に関する研修を充実します。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jc w:val="left"/>
        <w:rPr>
          <w:rFonts w:hint="default"/>
        </w:rPr>
      </w:pP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イ　教育環境の整備・充実</w:t>
      </w:r>
    </w:p>
    <w:p>
      <w:pPr>
        <w:pStyle w:val="0"/>
        <w:numPr>
          <w:ilvl w:val="0"/>
          <w:numId w:val="120"/>
        </w:numPr>
        <w:autoSpaceDE w:val="0"/>
        <w:autoSpaceDN w:val="0"/>
        <w:adjustRightInd w:val="0"/>
        <w:spacing w:line="360" w:lineRule="exact"/>
        <w:jc w:val="left"/>
        <w:rPr>
          <w:rFonts w:hint="default"/>
          <w:spacing w:val="-4"/>
          <w:kern w:val="0"/>
          <w:sz w:val="16"/>
        </w:rPr>
      </w:pPr>
      <w:r>
        <w:rPr>
          <w:rFonts w:hint="eastAsia"/>
          <w:kern w:val="0"/>
        </w:rPr>
        <w:t>「静岡県立特別支援学校施設整備基本計画」に基づき、「共生・共育」の推進や狭隘化の解消を目的に県立高等学校、小学校内に特別支援学校分校の整備を推進します。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ind w:left="868"/>
        <w:jc w:val="left"/>
        <w:rPr>
          <w:rFonts w:hint="default"/>
          <w:spacing w:val="-4"/>
          <w:kern w:val="0"/>
          <w:sz w:val="16"/>
        </w:rPr>
      </w:pPr>
    </w:p>
    <w:p>
      <w:pPr>
        <w:pStyle w:val="0"/>
        <w:numPr>
          <w:ilvl w:val="0"/>
          <w:numId w:val="120"/>
        </w:numPr>
        <w:autoSpaceDE w:val="0"/>
        <w:autoSpaceDN w:val="0"/>
        <w:adjustRightInd w:val="0"/>
        <w:spacing w:line="360" w:lineRule="exact"/>
        <w:jc w:val="left"/>
        <w:rPr>
          <w:rFonts w:hint="default"/>
          <w:spacing w:val="-4"/>
          <w:kern w:val="0"/>
          <w:sz w:val="16"/>
        </w:rPr>
      </w:pPr>
      <w:r>
        <w:rPr>
          <w:rFonts w:hint="eastAsia"/>
          <w:kern w:val="0"/>
        </w:rPr>
        <w:t>特別支援学校</w:t>
      </w:r>
      <w:r>
        <w:rPr>
          <w:rFonts w:hint="eastAsia"/>
          <w:spacing w:val="-4"/>
          <w:kern w:val="0"/>
          <w:vertAlign w:val="superscript"/>
        </w:rPr>
        <w:t>＊</w:t>
      </w:r>
      <w:r>
        <w:rPr>
          <w:rFonts w:hint="eastAsia"/>
          <w:kern w:val="0"/>
        </w:rPr>
        <w:t>の新設・通学区域の見直しなどにより、障害に配慮した施設・設備の整備を計画的に進めます。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jc w:val="left"/>
        <w:rPr>
          <w:rFonts w:hint="default"/>
          <w:spacing w:val="-4"/>
          <w:kern w:val="0"/>
          <w:sz w:val="16"/>
        </w:rPr>
      </w:pPr>
    </w:p>
    <w:p>
      <w:pPr>
        <w:pStyle w:val="0"/>
        <w:numPr>
          <w:ilvl w:val="0"/>
          <w:numId w:val="120"/>
        </w:numPr>
        <w:autoSpaceDE w:val="0"/>
        <w:autoSpaceDN w:val="0"/>
        <w:adjustRightInd w:val="0"/>
        <w:spacing w:line="360" w:lineRule="exact"/>
        <w:jc w:val="left"/>
        <w:rPr>
          <w:rFonts w:hint="default"/>
          <w:spacing w:val="-4"/>
          <w:kern w:val="0"/>
          <w:sz w:val="16"/>
        </w:rPr>
      </w:pPr>
      <w:r>
        <w:rPr>
          <w:rFonts w:hint="eastAsia"/>
          <w:kern w:val="0"/>
        </w:rPr>
        <w:t>特別支援学校</w:t>
      </w:r>
      <w:r>
        <w:rPr>
          <w:rFonts w:hint="eastAsia"/>
          <w:spacing w:val="-4"/>
          <w:kern w:val="0"/>
          <w:vertAlign w:val="superscript"/>
        </w:rPr>
        <w:t>＊</w:t>
      </w:r>
      <w:r>
        <w:rPr>
          <w:rFonts w:hint="eastAsia"/>
          <w:kern w:val="0"/>
        </w:rPr>
        <w:t>が、その専門性や施設・設備を生かして、早期からの教育相談や研修など、特別支援教育に関する地域のセンター的な役割を果たすための体制づくりを推進します。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jc w:val="left"/>
        <w:rPr>
          <w:rFonts w:hint="default"/>
          <w:spacing w:val="-4"/>
          <w:kern w:val="0"/>
          <w:sz w:val="16"/>
        </w:rPr>
      </w:pPr>
    </w:p>
    <w:p>
      <w:pPr>
        <w:pStyle w:val="0"/>
        <w:numPr>
          <w:ilvl w:val="0"/>
          <w:numId w:val="120"/>
        </w:numPr>
        <w:autoSpaceDE w:val="0"/>
        <w:autoSpaceDN w:val="0"/>
        <w:adjustRightInd w:val="0"/>
        <w:spacing w:line="360" w:lineRule="exact"/>
        <w:jc w:val="left"/>
        <w:rPr>
          <w:rFonts w:hint="default"/>
          <w:spacing w:val="-4"/>
          <w:kern w:val="0"/>
          <w:sz w:val="16"/>
        </w:rPr>
      </w:pPr>
      <w:r>
        <w:rPr>
          <w:rFonts w:hint="eastAsia"/>
          <w:kern w:val="0"/>
        </w:rPr>
        <w:t>特別な支援が必要な子どもと地域の資源やシステムをつなぐため、特別支援教育コーディネーター</w:t>
      </w:r>
      <w:r>
        <w:rPr>
          <w:rFonts w:hint="eastAsia"/>
          <w:spacing w:val="-4"/>
          <w:kern w:val="0"/>
          <w:vertAlign w:val="superscript"/>
        </w:rPr>
        <w:t>＊</w:t>
      </w:r>
      <w:r>
        <w:rPr>
          <w:rFonts w:hint="eastAsia"/>
          <w:kern w:val="0"/>
        </w:rPr>
        <w:t>を活用し、学校間の連携を強化するとともに、地域の支援機関との連携や支援体制を構築します。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jc w:val="left"/>
        <w:rPr>
          <w:rFonts w:hint="default"/>
          <w:spacing w:val="-4"/>
          <w:kern w:val="0"/>
          <w:sz w:val="16"/>
        </w:rPr>
      </w:pPr>
    </w:p>
    <w:p>
      <w:pPr>
        <w:pStyle w:val="0"/>
        <w:numPr>
          <w:ilvl w:val="0"/>
          <w:numId w:val="120"/>
        </w:numPr>
        <w:autoSpaceDE w:val="0"/>
        <w:autoSpaceDN w:val="0"/>
        <w:adjustRightInd w:val="0"/>
        <w:spacing w:line="360" w:lineRule="exact"/>
        <w:jc w:val="left"/>
        <w:rPr>
          <w:rFonts w:hint="default"/>
          <w:spacing w:val="-4"/>
          <w:kern w:val="0"/>
          <w:sz w:val="16"/>
        </w:rPr>
      </w:pPr>
      <w:r>
        <w:rPr>
          <w:rFonts w:hint="eastAsia"/>
          <w:kern w:val="0"/>
        </w:rPr>
        <w:t>障害のため通学して教育を受けることが困難な児童生徒に対し、教員が家庭、児童福祉施設や医療機関で訪問教育を行います。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jc w:val="left"/>
        <w:rPr>
          <w:rFonts w:hint="default"/>
          <w:spacing w:val="-4"/>
          <w:kern w:val="0"/>
          <w:sz w:val="16"/>
        </w:rPr>
      </w:pPr>
    </w:p>
    <w:p>
      <w:pPr>
        <w:pStyle w:val="0"/>
        <w:autoSpaceDE w:val="0"/>
        <w:autoSpaceDN w:val="0"/>
        <w:adjustRightInd w:val="0"/>
        <w:spacing w:line="360" w:lineRule="exact"/>
        <w:jc w:val="left"/>
        <w:rPr>
          <w:rFonts w:hint="default"/>
          <w:spacing w:val="-4"/>
          <w:kern w:val="0"/>
          <w:sz w:val="16"/>
        </w:rPr>
      </w:pPr>
    </w:p>
    <w:p>
      <w:pPr>
        <w:pStyle w:val="0"/>
        <w:numPr>
          <w:ilvl w:val="0"/>
          <w:numId w:val="120"/>
        </w:numPr>
        <w:autoSpaceDE w:val="0"/>
        <w:autoSpaceDN w:val="0"/>
        <w:adjustRightInd w:val="0"/>
        <w:spacing w:line="360" w:lineRule="exact"/>
        <w:jc w:val="left"/>
        <w:rPr>
          <w:rFonts w:hint="default"/>
          <w:color w:val="000000" w:themeColor="text1"/>
          <w:spacing w:val="-4"/>
          <w:kern w:val="0"/>
          <w:sz w:val="16"/>
        </w:rPr>
      </w:pPr>
      <w:r>
        <w:rPr>
          <w:rFonts w:hint="eastAsia"/>
          <w:color w:val="000000" w:themeColor="text1"/>
          <w:kern w:val="0"/>
        </w:rPr>
        <w:t>医療的ケアを必要とする幼児児童生徒が安心して学校生活を送ることができるよう、特別支援学校</w:t>
      </w:r>
      <w:r>
        <w:rPr>
          <w:rFonts w:hint="eastAsia"/>
          <w:color w:val="000000" w:themeColor="text1"/>
          <w:spacing w:val="-4"/>
          <w:kern w:val="0"/>
          <w:vertAlign w:val="superscript"/>
        </w:rPr>
        <w:t>＊</w:t>
      </w:r>
      <w:r>
        <w:rPr>
          <w:rFonts w:hint="eastAsia"/>
          <w:color w:val="000000" w:themeColor="text1"/>
          <w:kern w:val="0"/>
        </w:rPr>
        <w:t>において安全かつ適切な医療的ケアを提供するための体制を整備します。</w:t>
      </w:r>
      <w:r>
        <w:rPr>
          <w:rFonts w:hint="eastAsia"/>
          <w:color w:val="000000" w:themeColor="text1"/>
          <w:spacing w:val="-4"/>
          <w:kern w:val="0"/>
          <w:sz w:val="16"/>
        </w:rPr>
        <w:t>[</w:t>
      </w:r>
      <w:r>
        <w:rPr>
          <w:rFonts w:hint="eastAsia"/>
          <w:color w:val="000000" w:themeColor="text1"/>
          <w:spacing w:val="-4"/>
          <w:kern w:val="0"/>
          <w:sz w:val="16"/>
        </w:rPr>
        <w:t>教育委員会</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spacing w:val="-4"/>
          <w:kern w:val="0"/>
          <w:sz w:val="16"/>
        </w:rPr>
      </w:pPr>
    </w:p>
    <w:p>
      <w:pPr>
        <w:pStyle w:val="0"/>
        <w:spacing w:line="360" w:lineRule="exact"/>
        <w:ind w:firstLine="240" w:firstLineChars="100"/>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ウ　放課後生活等の充実</w:t>
      </w:r>
    </w:p>
    <w:p>
      <w:pPr>
        <w:pStyle w:val="0"/>
        <w:numPr>
          <w:ilvl w:val="0"/>
          <w:numId w:val="121"/>
        </w:numPr>
        <w:autoSpaceDE w:val="0"/>
        <w:autoSpaceDN w:val="0"/>
        <w:adjustRightInd w:val="0"/>
        <w:spacing w:line="360" w:lineRule="exact"/>
        <w:jc w:val="left"/>
        <w:rPr>
          <w:rFonts w:hint="default"/>
          <w:color w:val="000000" w:themeColor="text1"/>
          <w:spacing w:val="-4"/>
          <w:kern w:val="0"/>
        </w:rPr>
      </w:pPr>
      <w:r>
        <w:rPr>
          <w:rFonts w:hint="eastAsia"/>
          <w:color w:val="000000" w:themeColor="text1"/>
          <w:kern w:val="0"/>
        </w:rPr>
        <w:t>障害のある子どもの放課後や休みの日（特に夏休み等の長期休業時）における安全・安心な居場所を確保し、社会との交流や自立を支援するため、放課後等デイサービス</w:t>
      </w:r>
      <w:r>
        <w:rPr>
          <w:rFonts w:hint="eastAsia"/>
          <w:color w:val="000000" w:themeColor="text1"/>
          <w:spacing w:val="-4"/>
          <w:kern w:val="0"/>
          <w:vertAlign w:val="superscript"/>
        </w:rPr>
        <w:t>＊</w:t>
      </w:r>
      <w:r>
        <w:rPr>
          <w:rFonts w:hint="eastAsia"/>
          <w:color w:val="000000" w:themeColor="text1"/>
          <w:kern w:val="0"/>
        </w:rPr>
        <w:t>、放課後児童クラブ</w:t>
      </w:r>
      <w:r>
        <w:rPr>
          <w:rFonts w:hint="eastAsia"/>
          <w:color w:val="000000" w:themeColor="text1"/>
          <w:spacing w:val="-4"/>
          <w:kern w:val="0"/>
          <w:vertAlign w:val="superscript"/>
        </w:rPr>
        <w:t>＊</w:t>
      </w:r>
      <w:r>
        <w:rPr>
          <w:rFonts w:hint="eastAsia"/>
          <w:color w:val="000000" w:themeColor="text1"/>
          <w:kern w:val="0"/>
        </w:rPr>
        <w:t>、放課後子供教室</w:t>
      </w:r>
      <w:r>
        <w:rPr>
          <w:rFonts w:hint="eastAsia"/>
          <w:color w:val="000000" w:themeColor="text1"/>
          <w:spacing w:val="-4"/>
          <w:kern w:val="0"/>
          <w:vertAlign w:val="superscript"/>
        </w:rPr>
        <w:t>＊</w:t>
      </w:r>
      <w:r>
        <w:rPr>
          <w:rFonts w:hint="eastAsia"/>
          <w:color w:val="000000" w:themeColor="text1"/>
          <w:kern w:val="0"/>
        </w:rPr>
        <w:t>の充実を図ります。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r>
        <w:rPr>
          <w:rFonts w:hint="eastAsia"/>
          <w:color w:val="000000" w:themeColor="text1"/>
          <w:spacing w:val="-4"/>
          <w:kern w:val="0"/>
          <w:sz w:val="16"/>
        </w:rPr>
        <w:t>、</w:t>
      </w:r>
      <w:r>
        <w:rPr>
          <w:rFonts w:hint="eastAsia"/>
          <w:color w:val="000000" w:themeColor="text1"/>
          <w:spacing w:val="-4"/>
          <w:kern w:val="0"/>
          <w:sz w:val="16"/>
        </w:rPr>
        <w:t>[</w:t>
      </w:r>
      <w:r>
        <w:rPr>
          <w:rFonts w:hint="eastAsia"/>
          <w:color w:val="000000" w:themeColor="text1"/>
          <w:spacing w:val="-4"/>
          <w:kern w:val="0"/>
          <w:sz w:val="16"/>
        </w:rPr>
        <w:t>健康福祉部こども未来局</w:t>
      </w:r>
      <w:r>
        <w:rPr>
          <w:rFonts w:hint="eastAsia"/>
          <w:color w:val="000000" w:themeColor="text1"/>
          <w:spacing w:val="-4"/>
          <w:kern w:val="0"/>
          <w:sz w:val="16"/>
        </w:rPr>
        <w:t>]</w:t>
      </w:r>
      <w:r>
        <w:rPr>
          <w:rFonts w:hint="eastAsia"/>
          <w:color w:val="000000" w:themeColor="text1"/>
          <w:spacing w:val="-4"/>
          <w:kern w:val="0"/>
          <w:sz w:val="16"/>
        </w:rPr>
        <w:t>、</w:t>
      </w:r>
      <w:r>
        <w:rPr>
          <w:rFonts w:hint="eastAsia"/>
          <w:color w:val="000000" w:themeColor="text1"/>
          <w:spacing w:val="-4"/>
          <w:kern w:val="0"/>
          <w:sz w:val="16"/>
        </w:rPr>
        <w:t>[</w:t>
      </w:r>
      <w:r>
        <w:rPr>
          <w:rFonts w:hint="eastAsia"/>
          <w:color w:val="000000" w:themeColor="text1"/>
          <w:spacing w:val="-4"/>
          <w:kern w:val="0"/>
          <w:sz w:val="16"/>
        </w:rPr>
        <w:t>教育委員会</w:t>
      </w:r>
      <w:r>
        <w:rPr>
          <w:rFonts w:hint="eastAsia"/>
          <w:color w:val="000000" w:themeColor="text1"/>
          <w:spacing w:val="-4"/>
          <w:kern w:val="0"/>
          <w:sz w:val="16"/>
        </w:rPr>
        <w:t>]</w:t>
      </w:r>
    </w:p>
    <w:p>
      <w:pPr>
        <w:pStyle w:val="0"/>
        <w:autoSpaceDE w:val="0"/>
        <w:autoSpaceDN w:val="0"/>
        <w:adjustRightInd w:val="0"/>
        <w:spacing w:line="360" w:lineRule="exact"/>
        <w:ind w:left="440"/>
        <w:jc w:val="left"/>
        <w:rPr>
          <w:rFonts w:hint="default"/>
          <w:color w:val="000000" w:themeColor="text1"/>
          <w:spacing w:val="-4"/>
          <w:kern w:val="0"/>
        </w:rPr>
      </w:pPr>
    </w:p>
    <w:p>
      <w:pPr>
        <w:pStyle w:val="0"/>
        <w:numPr>
          <w:ilvl w:val="0"/>
          <w:numId w:val="121"/>
        </w:numPr>
        <w:autoSpaceDE w:val="0"/>
        <w:autoSpaceDN w:val="0"/>
        <w:adjustRightInd w:val="0"/>
        <w:spacing w:line="360" w:lineRule="exact"/>
        <w:jc w:val="left"/>
        <w:rPr>
          <w:rFonts w:hint="default"/>
          <w:color w:val="000000" w:themeColor="text1"/>
          <w:spacing w:val="-4"/>
          <w:kern w:val="0"/>
        </w:rPr>
      </w:pPr>
      <w:r>
        <w:rPr>
          <w:rFonts w:hint="eastAsia"/>
          <w:color w:val="000000" w:themeColor="text1"/>
          <w:kern w:val="0"/>
        </w:rPr>
        <w:t>特別支援学校</w:t>
      </w:r>
      <w:r>
        <w:rPr>
          <w:rFonts w:hint="eastAsia"/>
          <w:spacing w:val="-4"/>
          <w:kern w:val="0"/>
          <w:vertAlign w:val="superscript"/>
        </w:rPr>
        <w:t>＊</w:t>
      </w:r>
      <w:r>
        <w:rPr>
          <w:rFonts w:hint="eastAsia"/>
          <w:color w:val="000000" w:themeColor="text1"/>
          <w:kern w:val="0"/>
        </w:rPr>
        <w:t>に通っていても放課後等デイサービス</w:t>
      </w:r>
      <w:r>
        <w:rPr>
          <w:rFonts w:hint="eastAsia"/>
          <w:spacing w:val="-4"/>
          <w:kern w:val="0"/>
          <w:vertAlign w:val="superscript"/>
        </w:rPr>
        <w:t>＊</w:t>
      </w:r>
      <w:r>
        <w:rPr>
          <w:rFonts w:hint="eastAsia"/>
          <w:color w:val="000000" w:themeColor="text1"/>
          <w:kern w:val="0"/>
        </w:rPr>
        <w:t>が使えない、医療的ケアを必要とする子どもの放課後生活やそれを支える家族を支援するため、居宅介護</w:t>
      </w:r>
      <w:r>
        <w:rPr>
          <w:rFonts w:hint="eastAsia"/>
          <w:color w:val="000000" w:themeColor="text1"/>
          <w:spacing w:val="-4"/>
          <w:kern w:val="0"/>
          <w:vertAlign w:val="superscript"/>
        </w:rPr>
        <w:t>＊</w:t>
      </w:r>
      <w:r>
        <w:rPr>
          <w:rFonts w:hint="eastAsia"/>
          <w:color w:val="000000" w:themeColor="text1"/>
          <w:kern w:val="0"/>
        </w:rPr>
        <w:t>をはじめとする障害福祉サービス等の充実を図ります。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spacing w:val="-4"/>
          <w:kern w:val="0"/>
        </w:rPr>
      </w:pPr>
    </w:p>
    <w:p>
      <w:pPr>
        <w:pStyle w:val="0"/>
        <w:numPr>
          <w:ilvl w:val="0"/>
          <w:numId w:val="121"/>
        </w:numPr>
        <w:autoSpaceDE w:val="0"/>
        <w:autoSpaceDN w:val="0"/>
        <w:adjustRightInd w:val="0"/>
        <w:spacing w:line="360" w:lineRule="exact"/>
        <w:jc w:val="left"/>
        <w:rPr>
          <w:rFonts w:hint="default"/>
          <w:color w:val="000000" w:themeColor="text1"/>
          <w:spacing w:val="-4"/>
          <w:kern w:val="0"/>
        </w:rPr>
      </w:pPr>
      <w:r>
        <w:rPr>
          <w:rFonts w:hint="eastAsia"/>
          <w:color w:val="000000" w:themeColor="text1"/>
          <w:kern w:val="0"/>
        </w:rPr>
        <w:t>障害児入所施設や児童養護施設などに入所する障害のある子どもの教育・育成のため、学校と施設の連携を促進します。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r>
        <w:rPr>
          <w:rFonts w:hint="eastAsia"/>
          <w:color w:val="000000" w:themeColor="text1"/>
          <w:spacing w:val="-4"/>
          <w:kern w:val="0"/>
          <w:sz w:val="16"/>
        </w:rPr>
        <w:t>、</w:t>
      </w:r>
      <w:r>
        <w:rPr>
          <w:rFonts w:hint="eastAsia"/>
          <w:color w:val="000000" w:themeColor="text1"/>
          <w:spacing w:val="-4"/>
          <w:kern w:val="0"/>
          <w:sz w:val="16"/>
        </w:rPr>
        <w:t>[</w:t>
      </w:r>
      <w:r>
        <w:rPr>
          <w:rFonts w:hint="eastAsia"/>
          <w:color w:val="000000" w:themeColor="text1"/>
          <w:spacing w:val="-4"/>
          <w:kern w:val="0"/>
          <w:sz w:val="16"/>
        </w:rPr>
        <w:t>健康福祉部こども未来局</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spacing w:val="-4"/>
          <w:kern w:val="0"/>
        </w:rPr>
      </w:pPr>
    </w:p>
    <w:p>
      <w:pPr>
        <w:pStyle w:val="0"/>
        <w:numPr>
          <w:ilvl w:val="0"/>
          <w:numId w:val="121"/>
        </w:numPr>
        <w:autoSpaceDE w:val="0"/>
        <w:autoSpaceDN w:val="0"/>
        <w:adjustRightInd w:val="0"/>
        <w:spacing w:line="360" w:lineRule="exact"/>
        <w:jc w:val="left"/>
        <w:rPr>
          <w:rFonts w:hint="default"/>
          <w:color w:val="000000" w:themeColor="text1"/>
          <w:spacing w:val="-4"/>
          <w:kern w:val="0"/>
        </w:rPr>
      </w:pPr>
      <w:r>
        <w:rPr>
          <w:rFonts w:hint="eastAsia"/>
          <w:color w:val="000000" w:themeColor="text1"/>
          <w:spacing w:val="-4"/>
          <w:kern w:val="0"/>
        </w:rPr>
        <w:t>教育と福祉との連携を促進することにより幼児児童生徒の指導や支援の充実を図るように努めます。</w:t>
      </w:r>
      <w:r>
        <w:rPr>
          <w:rFonts w:hint="eastAsia"/>
          <w:color w:val="000000" w:themeColor="text1"/>
          <w:spacing w:val="-4"/>
          <w:kern w:val="0"/>
          <w:sz w:val="16"/>
        </w:rPr>
        <w:t>[</w:t>
      </w:r>
      <w:r>
        <w:rPr>
          <w:rFonts w:hint="eastAsia"/>
          <w:color w:val="000000" w:themeColor="text1"/>
          <w:spacing w:val="-4"/>
          <w:kern w:val="0"/>
          <w:sz w:val="16"/>
        </w:rPr>
        <w:t>教育委員会</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spacing w:val="-4"/>
          <w:kern w:val="0"/>
        </w:rPr>
      </w:pPr>
    </w:p>
    <w:p>
      <w:pPr>
        <w:pStyle w:val="0"/>
        <w:spacing w:line="360" w:lineRule="exact"/>
        <w:ind w:firstLine="240" w:firstLineChars="100"/>
        <w:rPr>
          <w:rFonts w:hint="default" w:ascii="ＭＳ ゴシック" w:hAnsi="ＭＳ ゴシック" w:eastAsia="ＭＳ ゴシック"/>
        </w:rPr>
      </w:pPr>
      <w:r>
        <w:rPr>
          <w:rFonts w:hint="eastAsia" w:ascii="ＭＳ ゴシック" w:hAnsi="ＭＳ ゴシック" w:eastAsia="ＭＳ ゴシック"/>
        </w:rPr>
        <w:t>エ　生涯を通じた多様な学習活動の充実</w:t>
      </w:r>
    </w:p>
    <w:p>
      <w:pPr>
        <w:pStyle w:val="0"/>
        <w:numPr>
          <w:ilvl w:val="0"/>
          <w:numId w:val="122"/>
        </w:numPr>
        <w:autoSpaceDE w:val="0"/>
        <w:autoSpaceDN w:val="0"/>
        <w:adjustRightInd w:val="0"/>
        <w:spacing w:line="360" w:lineRule="exact"/>
        <w:jc w:val="left"/>
        <w:rPr>
          <w:rFonts w:hint="default"/>
          <w:spacing w:val="-4"/>
          <w:kern w:val="0"/>
        </w:rPr>
      </w:pPr>
      <w:r>
        <w:rPr>
          <w:rFonts w:hint="eastAsia"/>
          <w:kern w:val="0"/>
        </w:rPr>
        <w:t>特別支援教育の生涯学習化に向けて現状とニーズの把握に努めます。</w:t>
      </w:r>
      <w:r>
        <w:rPr>
          <w:rFonts w:hint="eastAsia"/>
          <w:kern w:val="0"/>
          <w:sz w:val="16"/>
        </w:rPr>
        <w:t>[</w:t>
      </w:r>
      <w:r>
        <w:rPr>
          <w:rFonts w:hint="eastAsia"/>
          <w:kern w:val="0"/>
          <w:sz w:val="16"/>
        </w:rPr>
        <w:t>教育委員会</w:t>
      </w:r>
      <w:r>
        <w:rPr>
          <w:rFonts w:hint="eastAsia"/>
          <w:kern w:val="0"/>
          <w:sz w:val="16"/>
        </w:rPr>
        <w:t>]</w:t>
      </w:r>
    </w:p>
    <w:p>
      <w:pPr>
        <w:pStyle w:val="0"/>
        <w:autoSpaceDE w:val="0"/>
        <w:autoSpaceDN w:val="0"/>
        <w:adjustRightInd w:val="0"/>
        <w:spacing w:line="360" w:lineRule="exact"/>
        <w:ind w:left="868"/>
        <w:jc w:val="left"/>
        <w:rPr>
          <w:rFonts w:hint="default"/>
          <w:spacing w:val="-4"/>
          <w:kern w:val="0"/>
        </w:rPr>
      </w:pPr>
    </w:p>
    <w:p>
      <w:pPr>
        <w:pStyle w:val="0"/>
        <w:numPr>
          <w:ilvl w:val="0"/>
          <w:numId w:val="122"/>
        </w:numPr>
        <w:autoSpaceDE w:val="0"/>
        <w:autoSpaceDN w:val="0"/>
        <w:adjustRightInd w:val="0"/>
        <w:spacing w:line="360" w:lineRule="exact"/>
        <w:jc w:val="left"/>
        <w:rPr>
          <w:rFonts w:hint="default"/>
          <w:spacing w:val="-4"/>
          <w:kern w:val="0"/>
        </w:rPr>
      </w:pPr>
      <w:r>
        <w:rPr>
          <w:rFonts w:hint="eastAsia"/>
          <w:kern w:val="0"/>
        </w:rPr>
        <w:t>障害のある人の生涯を通じた多様な学習活動を支援するための環境整備を進めます。</w:t>
      </w:r>
      <w:r>
        <w:rPr>
          <w:rFonts w:hint="eastAsia"/>
          <w:kern w:val="0"/>
          <w:sz w:val="16"/>
        </w:rPr>
        <w:t>[</w:t>
      </w:r>
      <w:r>
        <w:rPr>
          <w:rFonts w:hint="eastAsia"/>
          <w:kern w:val="0"/>
          <w:sz w:val="16"/>
        </w:rPr>
        <w:t>教育委員会</w:t>
      </w:r>
      <w:r>
        <w:rPr>
          <w:rFonts w:hint="eastAsia"/>
          <w:kern w:val="0"/>
          <w:sz w:val="16"/>
        </w:rPr>
        <w:t>]</w:t>
      </w:r>
    </w:p>
    <w:p>
      <w:pPr>
        <w:pStyle w:val="0"/>
        <w:autoSpaceDE w:val="0"/>
        <w:autoSpaceDN w:val="0"/>
        <w:adjustRightInd w:val="0"/>
        <w:spacing w:line="360" w:lineRule="exact"/>
        <w:jc w:val="left"/>
        <w:rPr>
          <w:rFonts w:hint="default"/>
          <w:spacing w:val="-4"/>
          <w:kern w:val="0"/>
        </w:rPr>
      </w:pPr>
    </w:p>
    <w:p>
      <w:pPr>
        <w:pStyle w:val="0"/>
        <w:spacing w:line="360" w:lineRule="exact"/>
        <w:ind w:firstLine="240" w:firstLineChars="100"/>
        <w:outlineLvl w:val="2"/>
        <w:rPr>
          <w:rFonts w:hint="default" w:ascii="ＭＳ ゴシック" w:hAnsi="ＭＳ ゴシック" w:eastAsia="ＭＳ ゴシック"/>
        </w:rPr>
      </w:pPr>
      <w:bookmarkStart w:id="137" w:name="_Toc503474099"/>
      <w:bookmarkEnd w:id="137"/>
      <w:r>
        <w:rPr>
          <w:rFonts w:hint="eastAsia" w:ascii="ＭＳ ゴシック" w:hAnsi="ＭＳ ゴシック" w:eastAsia="ＭＳ ゴシック"/>
        </w:rPr>
        <w:t>オ　特別支援学校高等部教育の充実</w:t>
      </w:r>
    </w:p>
    <w:p>
      <w:pPr>
        <w:pStyle w:val="0"/>
        <w:numPr>
          <w:ilvl w:val="0"/>
          <w:numId w:val="123"/>
        </w:numPr>
        <w:autoSpaceDE w:val="0"/>
        <w:autoSpaceDN w:val="0"/>
        <w:adjustRightInd w:val="0"/>
        <w:spacing w:line="360" w:lineRule="exact"/>
        <w:jc w:val="left"/>
        <w:rPr>
          <w:rFonts w:hint="default"/>
          <w:spacing w:val="-4"/>
          <w:kern w:val="0"/>
        </w:rPr>
      </w:pPr>
      <w:r>
        <w:rPr>
          <w:rFonts w:hint="eastAsia"/>
          <w:kern w:val="0"/>
        </w:rPr>
        <w:t>生徒が自己の在り方、生き方を考え、豊かな自己実現を目指すために、高等部教育の整備・充実に努めます。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ind w:left="440"/>
        <w:jc w:val="left"/>
        <w:rPr>
          <w:rFonts w:hint="default"/>
          <w:spacing w:val="-4"/>
          <w:kern w:val="0"/>
        </w:rPr>
      </w:pPr>
    </w:p>
    <w:p>
      <w:pPr>
        <w:pStyle w:val="0"/>
        <w:numPr>
          <w:ilvl w:val="0"/>
          <w:numId w:val="123"/>
        </w:numPr>
        <w:autoSpaceDE w:val="0"/>
        <w:autoSpaceDN w:val="0"/>
        <w:adjustRightInd w:val="0"/>
        <w:spacing w:line="360" w:lineRule="exact"/>
        <w:jc w:val="left"/>
        <w:rPr>
          <w:rFonts w:hint="default"/>
          <w:spacing w:val="-4"/>
          <w:kern w:val="0"/>
        </w:rPr>
      </w:pPr>
      <w:r>
        <w:rPr>
          <w:rFonts w:hint="eastAsia"/>
          <w:kern w:val="0"/>
        </w:rPr>
        <w:t>生徒の多様な進路に対応できるよう、幅広い学習を展開するとともに、進路相談の充実を図ります。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jc w:val="left"/>
        <w:rPr>
          <w:rFonts w:hint="default"/>
          <w:spacing w:val="-4"/>
          <w:kern w:val="0"/>
        </w:rPr>
      </w:pPr>
    </w:p>
    <w:p>
      <w:pPr>
        <w:pStyle w:val="0"/>
        <w:numPr>
          <w:ilvl w:val="0"/>
          <w:numId w:val="123"/>
        </w:numPr>
        <w:autoSpaceDE w:val="0"/>
        <w:autoSpaceDN w:val="0"/>
        <w:adjustRightInd w:val="0"/>
        <w:spacing w:line="360" w:lineRule="exact"/>
        <w:jc w:val="left"/>
        <w:rPr>
          <w:rFonts w:hint="default"/>
          <w:spacing w:val="-4"/>
          <w:kern w:val="0"/>
        </w:rPr>
      </w:pPr>
      <w:r>
        <w:rPr>
          <w:rFonts w:hint="eastAsia"/>
          <w:kern w:val="0"/>
        </w:rPr>
        <w:t>就職など生徒の社会的な自立を図るため、学校や地域の特性に応じた情報教育や職業教育を積極的に推進します。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jc w:val="left"/>
        <w:rPr>
          <w:rFonts w:hint="default"/>
          <w:spacing w:val="-4"/>
          <w:kern w:val="0"/>
        </w:rPr>
      </w:pPr>
    </w:p>
    <w:p>
      <w:pPr>
        <w:pStyle w:val="0"/>
        <w:numPr>
          <w:ilvl w:val="0"/>
          <w:numId w:val="123"/>
        </w:numPr>
        <w:autoSpaceDE w:val="0"/>
        <w:autoSpaceDN w:val="0"/>
        <w:adjustRightInd w:val="0"/>
        <w:spacing w:line="360" w:lineRule="exact"/>
        <w:jc w:val="left"/>
        <w:rPr>
          <w:rFonts w:hint="default"/>
          <w:spacing w:val="-4"/>
          <w:kern w:val="0"/>
        </w:rPr>
      </w:pPr>
      <w:r>
        <w:rPr>
          <w:rFonts w:hint="eastAsia"/>
          <w:kern w:val="0"/>
        </w:rPr>
        <w:t>事業所等と連携し、一人ひとりの適性に応じた職場開拓や職場実習の充実に努めます。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r>
        <w:rPr>
          <w:rFonts w:hint="eastAsia"/>
          <w:spacing w:val="-4"/>
          <w:kern w:val="0"/>
          <w:sz w:val="16"/>
        </w:rPr>
        <w:t>、</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autoSpaceDE w:val="0"/>
        <w:autoSpaceDN w:val="0"/>
        <w:adjustRightInd w:val="0"/>
        <w:spacing w:line="360" w:lineRule="exact"/>
        <w:jc w:val="left"/>
        <w:rPr>
          <w:rFonts w:hint="default"/>
          <w:spacing w:val="-4"/>
          <w:kern w:val="0"/>
        </w:rPr>
      </w:pPr>
    </w:p>
    <w:p>
      <w:pPr>
        <w:pStyle w:val="0"/>
        <w:autoSpaceDE w:val="0"/>
        <w:autoSpaceDN w:val="0"/>
        <w:adjustRightInd w:val="0"/>
        <w:spacing w:line="360" w:lineRule="exact"/>
        <w:jc w:val="left"/>
        <w:rPr>
          <w:rFonts w:hint="default"/>
          <w:spacing w:val="-4"/>
          <w:kern w:val="0"/>
        </w:rPr>
      </w:pPr>
    </w:p>
    <w:p>
      <w:pPr>
        <w:pStyle w:val="0"/>
        <w:rPr>
          <w:rFonts w:hint="default"/>
        </w:rPr>
      </w:pPr>
    </w:p>
    <w:p>
      <w:pPr>
        <w:pStyle w:val="0"/>
        <w:rPr>
          <w:rFonts w:hint="default"/>
        </w:rPr>
      </w:pPr>
      <w:r>
        <w:rPr>
          <w:rFonts w:hint="eastAsia" w:ascii="ＭＳ ゴシック" w:hAnsi="ＭＳ ゴシック" w:eastAsia="ＭＳ ゴシック"/>
        </w:rPr>
        <w:t>【数値目標】</w:t>
      </w:r>
    </w:p>
    <w:tbl>
      <w:tblPr>
        <w:tblStyle w:val="11"/>
        <w:tblW w:w="9764"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15"/>
        <w:gridCol w:w="4865"/>
        <w:gridCol w:w="2242"/>
        <w:gridCol w:w="2242"/>
      </w:tblGrid>
      <w:tr>
        <w:trPr>
          <w:trHeight w:val="243"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指　　　　　　　　標</w:t>
            </w:r>
          </w:p>
        </w:tc>
        <w:tc>
          <w:tcPr>
            <w:tcW w:w="224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center"/>
              <w:rPr>
                <w:rFonts w:hint="default"/>
              </w:rPr>
            </w:pPr>
            <w:r>
              <w:rPr>
                <w:rFonts w:hint="eastAsia"/>
              </w:rPr>
              <w:t>現状値</w:t>
            </w:r>
          </w:p>
        </w:tc>
        <w:tc>
          <w:tcPr>
            <w:tcW w:w="2245" w:type="dxa"/>
            <w:vAlign w:val="center"/>
          </w:tcPr>
          <w:p>
            <w:pPr>
              <w:pStyle w:val="0"/>
              <w:jc w:val="center"/>
              <w:rPr>
                <w:rFonts w:hint="default"/>
              </w:rPr>
            </w:pPr>
            <w:r>
              <w:rPr>
                <w:rFonts w:hint="eastAsia"/>
              </w:rPr>
              <w:t>目標値</w:t>
            </w:r>
          </w:p>
        </w:tc>
      </w:tr>
      <w:tr>
        <w:trPr>
          <w:trHeight w:val="837"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居住地域の小・中学校との交流を行った特別支援学校</w:t>
            </w:r>
            <w:r>
              <w:rPr>
                <w:rFonts w:hint="eastAsia"/>
                <w:spacing w:val="-4"/>
                <w:kern w:val="0"/>
                <w:vertAlign w:val="superscript"/>
              </w:rPr>
              <w:t>＊</w:t>
            </w:r>
            <w:r>
              <w:rPr>
                <w:rFonts w:hint="eastAsia"/>
              </w:rPr>
              <w:t>の児童生徒数</w:t>
            </w:r>
          </w:p>
        </w:tc>
        <w:tc>
          <w:tcPr>
            <w:tcW w:w="224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2021</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690</w:t>
            </w:r>
            <w:r>
              <w:rPr>
                <w:rFonts w:hint="eastAsia"/>
                <w:color w:val="000000" w:themeColor="text1"/>
              </w:rPr>
              <w:t>人</w:t>
            </w:r>
          </w:p>
        </w:tc>
        <w:tc>
          <w:tcPr>
            <w:tcW w:w="2245"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1,500</w:t>
            </w:r>
            <w:r>
              <w:rPr>
                <w:rFonts w:hint="eastAsia"/>
                <w:color w:val="000000" w:themeColor="text1"/>
              </w:rPr>
              <w:t>人</w:t>
            </w:r>
          </w:p>
        </w:tc>
      </w:tr>
      <w:tr>
        <w:trPr>
          <w:trHeight w:val="243"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default"/>
              </w:rPr>
            </w:pPr>
            <w:r>
              <w:rPr>
                <w:rFonts w:hint="eastAsia"/>
              </w:rPr>
              <w:t>２</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放課後等デイサービス</w:t>
            </w:r>
            <w:r>
              <w:rPr>
                <w:rFonts w:hint="eastAsia"/>
                <w:spacing w:val="-4"/>
                <w:kern w:val="0"/>
                <w:vertAlign w:val="superscript"/>
              </w:rPr>
              <w:t>＊</w:t>
            </w:r>
            <w:r>
              <w:rPr>
                <w:rFonts w:hint="eastAsia"/>
              </w:rPr>
              <w:t>事業所設置数</w:t>
            </w:r>
          </w:p>
        </w:tc>
        <w:tc>
          <w:tcPr>
            <w:tcW w:w="224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2016</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339</w:t>
            </w:r>
            <w:r>
              <w:rPr>
                <w:rFonts w:hint="eastAsia"/>
                <w:color w:val="000000" w:themeColor="text1"/>
              </w:rPr>
              <w:t>箇所</w:t>
            </w:r>
          </w:p>
        </w:tc>
        <w:tc>
          <w:tcPr>
            <w:tcW w:w="2245"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509</w:t>
            </w:r>
            <w:r>
              <w:rPr>
                <w:rFonts w:hint="eastAsia"/>
                <w:color w:val="000000" w:themeColor="text1"/>
              </w:rPr>
              <w:t>箇所</w:t>
            </w:r>
          </w:p>
        </w:tc>
      </w:tr>
      <w:tr>
        <w:trPr>
          <w:trHeight w:val="334" w:hRule="atLeast"/>
        </w:trPr>
        <w:tc>
          <w:tcPr>
            <w:tcW w:w="414"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３</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特別支援学校高等部生徒の進路選択のための実習先数</w:t>
            </w:r>
          </w:p>
        </w:tc>
        <w:tc>
          <w:tcPr>
            <w:tcW w:w="2245"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2021</w:t>
            </w:r>
            <w:r>
              <w:rPr>
                <w:rFonts w:hint="eastAsia"/>
                <w:color w:val="000000" w:themeColor="text1"/>
              </w:rPr>
              <w:t>年度）</w:t>
            </w:r>
          </w:p>
          <w:p>
            <w:pPr>
              <w:pStyle w:val="0"/>
              <w:spacing w:line="360" w:lineRule="exact"/>
              <w:jc w:val="center"/>
              <w:rPr>
                <w:rFonts w:hint="default"/>
                <w:dstrike w:val="1"/>
                <w:color w:val="000000" w:themeColor="text1"/>
              </w:rPr>
            </w:pPr>
            <w:r>
              <w:rPr>
                <w:rFonts w:hint="eastAsia"/>
                <w:color w:val="000000" w:themeColor="text1"/>
              </w:rPr>
              <w:t>1,648</w:t>
            </w:r>
            <w:r>
              <w:rPr>
                <w:rFonts w:hint="eastAsia"/>
                <w:color w:val="000000" w:themeColor="text1"/>
              </w:rPr>
              <w:t>箇所</w:t>
            </w:r>
          </w:p>
        </w:tc>
        <w:tc>
          <w:tcPr>
            <w:tcW w:w="2245" w:type="dxa"/>
            <w:vAlign w:val="center"/>
          </w:tcPr>
          <w:p>
            <w:pPr>
              <w:pStyle w:val="0"/>
              <w:spacing w:line="360" w:lineRule="exact"/>
              <w:jc w:val="center"/>
              <w:rPr>
                <w:rFonts w:hint="default"/>
                <w:dstrike w:val="1"/>
                <w:color w:val="000000" w:themeColor="text1"/>
              </w:rPr>
            </w:pPr>
            <w:r>
              <w:rPr>
                <w:rFonts w:hint="eastAsia"/>
                <w:color w:val="000000" w:themeColor="text1"/>
              </w:rPr>
              <w:t>毎年</w:t>
            </w:r>
            <w:r>
              <w:rPr>
                <w:rFonts w:hint="eastAsia"/>
                <w:color w:val="000000" w:themeColor="text1"/>
              </w:rPr>
              <w:t>1,850</w:t>
            </w:r>
            <w:r>
              <w:rPr>
                <w:rFonts w:hint="eastAsia"/>
                <w:color w:val="000000" w:themeColor="text1"/>
              </w:rPr>
              <w:t>箇所</w:t>
            </w:r>
          </w:p>
        </w:tc>
      </w:tr>
    </w:tbl>
    <w:p>
      <w:pPr>
        <w:pStyle w:val="0"/>
        <w:ind w:left="480" w:hanging="480" w:hangingChars="200"/>
        <w:rPr>
          <w:rFonts w:hint="default" w:ascii="ＭＳ ゴシック" w:hAnsi="ＭＳ ゴシック" w:eastAsia="ＭＳ ゴシック"/>
          <w:u w:val="single" w:color="auto"/>
        </w:rPr>
      </w:pPr>
      <w:r>
        <w:rPr>
          <w:rFonts w:hint="eastAsia"/>
        </w:rPr>
        <w:br w:type="page"/>
      </w:r>
      <w:r>
        <w:rPr>
          <w:rFonts w:hint="eastAsia" w:ascii="ＭＳ ゴシック" w:hAnsi="ＭＳ ゴシック" w:eastAsia="ＭＳ ゴシック"/>
          <w:sz w:val="26"/>
          <w:u w:val="single" w:color="auto"/>
        </w:rPr>
        <w:t>３　重症心身障害児（者）</w:t>
      </w:r>
      <w:r>
        <w:rPr>
          <w:rFonts w:hint="eastAsia"/>
          <w:color w:val="000000" w:themeColor="text1"/>
          <w:spacing w:val="-4"/>
          <w:kern w:val="0"/>
          <w:vertAlign w:val="superscript"/>
        </w:rPr>
        <w:t>＊</w:t>
      </w:r>
      <w:r>
        <w:rPr>
          <w:rFonts w:hint="eastAsia" w:ascii="ＭＳ ゴシック" w:hAnsi="ＭＳ ゴシック" w:eastAsia="ＭＳ ゴシック"/>
          <w:color w:val="000000" w:themeColor="text1"/>
          <w:sz w:val="26"/>
          <w:u w:val="single" w:color="auto"/>
        </w:rPr>
        <w:t>・医療的ケア児（者）</w:t>
      </w:r>
      <w:r>
        <w:rPr>
          <w:rFonts w:hint="eastAsia" w:ascii="ＭＳ ゴシック" w:hAnsi="ＭＳ ゴシック" w:eastAsia="ＭＳ ゴシック"/>
          <w:sz w:val="26"/>
          <w:u w:val="single" w:color="auto"/>
        </w:rPr>
        <w:t>に対する支援の充実</w:t>
      </w:r>
    </w:p>
    <w:p>
      <w:pPr>
        <w:pStyle w:val="0"/>
        <w:outlineLvl w:val="2"/>
        <w:rPr>
          <w:rFonts w:hint="default"/>
        </w:rPr>
      </w:pPr>
      <w:r>
        <w:rPr>
          <w:rFonts w:hint="eastAsia" w:ascii="ＭＳ ゴシック" w:hAnsi="ＭＳ ゴシック" w:eastAsia="ＭＳ ゴシック"/>
        </w:rPr>
        <w:t>（１）重症心身障害児（者）</w:t>
      </w:r>
      <w:r>
        <w:rPr>
          <w:rFonts w:hint="eastAsia" w:ascii="ＭＳ ゴシック" w:hAnsi="ＭＳ ゴシック" w:eastAsia="ＭＳ ゴシック"/>
          <w:color w:val="000000" w:themeColor="text1"/>
        </w:rPr>
        <w:t>・医療的ケア児（者）</w:t>
      </w:r>
      <w:r>
        <w:rPr>
          <w:rFonts w:hint="eastAsia" w:ascii="ＭＳ ゴシック" w:hAnsi="ＭＳ ゴシック" w:eastAsia="ＭＳ ゴシック"/>
        </w:rPr>
        <w:t>に対する支援</w:t>
      </w:r>
    </w:p>
    <w:p>
      <w:pPr>
        <w:pStyle w:val="0"/>
        <w:rPr>
          <w:rFonts w:hint="default"/>
        </w:rPr>
      </w:pPr>
      <w:r>
        <w:rPr>
          <w:rFonts w:hint="eastAsia" w:ascii="ＭＳ ゴシック" w:hAnsi="ＭＳ ゴシック" w:eastAsia="ＭＳ ゴシック"/>
        </w:rPr>
        <w:t>【現状と課題】</w:t>
      </w:r>
    </w:p>
    <w:p>
      <w:pPr>
        <w:pStyle w:val="0"/>
        <w:numPr>
          <w:ilvl w:val="0"/>
          <w:numId w:val="124"/>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医療的ケア児及びその家族に対する支援に関する法律の施行（令和３年９月</w:t>
      </w:r>
      <w:r>
        <w:rPr>
          <w:rFonts w:hint="eastAsia"/>
          <w:color w:val="000000" w:themeColor="text1"/>
        </w:rPr>
        <w:t>18</w:t>
      </w:r>
      <w:r>
        <w:rPr>
          <w:rFonts w:hint="eastAsia"/>
          <w:color w:val="000000" w:themeColor="text1"/>
        </w:rPr>
        <w:t>日）を受けて、都道府県には医療的ケア児等支援センター</w:t>
      </w:r>
      <w:r>
        <w:rPr>
          <w:rFonts w:hint="eastAsia"/>
          <w:color w:val="000000" w:themeColor="text1"/>
          <w:spacing w:val="-4"/>
          <w:kern w:val="0"/>
          <w:vertAlign w:val="superscript"/>
        </w:rPr>
        <w:t>＊</w:t>
      </w:r>
      <w:r>
        <w:rPr>
          <w:rFonts w:hint="eastAsia"/>
          <w:color w:val="000000" w:themeColor="text1"/>
        </w:rPr>
        <w:t>の設置等が求められています。センターでは、当事者への相談支援及び情報提供、支援人材確保のための研修の実施、医療・保健・福祉・教育・労働等関係機関との連携による支援体制の構築が求められています。</w:t>
      </w:r>
    </w:p>
    <w:p>
      <w:pPr>
        <w:pStyle w:val="0"/>
        <w:autoSpaceDE w:val="0"/>
        <w:autoSpaceDN w:val="0"/>
        <w:adjustRightInd w:val="0"/>
        <w:spacing w:line="360" w:lineRule="exact"/>
        <w:ind w:left="573"/>
        <w:jc w:val="left"/>
        <w:rPr>
          <w:rFonts w:hint="default"/>
          <w:color w:val="000000" w:themeColor="text1"/>
        </w:rPr>
      </w:pPr>
    </w:p>
    <w:p>
      <w:pPr>
        <w:pStyle w:val="0"/>
        <w:numPr>
          <w:ilvl w:val="0"/>
          <w:numId w:val="124"/>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医療的ケアの必要な児童生徒が増加、多様化している現状から、医療的ケア児への安全安心な対応及びその家族支援が求められています。</w:t>
      </w:r>
    </w:p>
    <w:p>
      <w:pPr>
        <w:pStyle w:val="0"/>
        <w:autoSpaceDE w:val="0"/>
        <w:autoSpaceDN w:val="0"/>
        <w:adjustRightInd w:val="0"/>
        <w:spacing w:line="360" w:lineRule="exact"/>
        <w:jc w:val="left"/>
        <w:rPr>
          <w:rFonts w:hint="default"/>
          <w:color w:val="000000" w:themeColor="text1"/>
        </w:rPr>
      </w:pPr>
    </w:p>
    <w:p>
      <w:pPr>
        <w:pStyle w:val="0"/>
        <w:numPr>
          <w:ilvl w:val="0"/>
          <w:numId w:val="124"/>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小・中学校における医療的ケアに従事してもらう看護師が不足していることが課題となっており、医療的ケアの必要な児童生徒を受入れるための市町の体制整備が難しい現状があります。</w:t>
      </w:r>
    </w:p>
    <w:p>
      <w:pPr>
        <w:pStyle w:val="0"/>
        <w:autoSpaceDE w:val="0"/>
        <w:autoSpaceDN w:val="0"/>
        <w:adjustRightInd w:val="0"/>
        <w:spacing w:line="360" w:lineRule="exact"/>
        <w:jc w:val="left"/>
        <w:rPr>
          <w:rFonts w:hint="default"/>
          <w:color w:val="000000" w:themeColor="text1"/>
        </w:rPr>
      </w:pPr>
    </w:p>
    <w:p>
      <w:pPr>
        <w:pStyle w:val="0"/>
        <w:numPr>
          <w:ilvl w:val="0"/>
          <w:numId w:val="125"/>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2020</w:t>
      </w:r>
      <w:r>
        <w:rPr>
          <w:rFonts w:hint="eastAsia"/>
          <w:color w:val="000000" w:themeColor="text1"/>
        </w:rPr>
        <w:t>年に実施した「在宅で生活する重度の心身障害のある方及び日常的に医療的ケアが必要な方に関する調査」によると、家族が在宅生活における医療的ケアへの不安、介護等にかかる時間的・身体的負担などを抱えていることがうかがえます。</w:t>
      </w:r>
    </w:p>
    <w:p>
      <w:pPr>
        <w:pStyle w:val="0"/>
        <w:autoSpaceDE w:val="0"/>
        <w:autoSpaceDN w:val="0"/>
        <w:adjustRightInd w:val="0"/>
        <w:spacing w:line="360" w:lineRule="exact"/>
        <w:ind w:left="573"/>
        <w:jc w:val="left"/>
        <w:rPr>
          <w:rFonts w:hint="default"/>
          <w:color w:val="000000" w:themeColor="text1"/>
        </w:rPr>
      </w:pPr>
    </w:p>
    <w:p>
      <w:pPr>
        <w:pStyle w:val="0"/>
        <w:numPr>
          <w:ilvl w:val="0"/>
          <w:numId w:val="124"/>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在宅の重症心身障害児</w:t>
      </w:r>
      <w:r>
        <w:rPr>
          <w:rFonts w:hint="eastAsia"/>
          <w:color w:val="000000" w:themeColor="text1"/>
        </w:rPr>
        <w:t>(</w:t>
      </w:r>
      <w:r>
        <w:rPr>
          <w:rFonts w:hint="eastAsia"/>
          <w:color w:val="000000" w:themeColor="text1"/>
        </w:rPr>
        <w:t>者</w:t>
      </w:r>
      <w:r>
        <w:rPr>
          <w:rFonts w:hint="eastAsia"/>
          <w:color w:val="000000" w:themeColor="text1"/>
        </w:rPr>
        <w:t>)</w:t>
      </w:r>
      <w:r>
        <w:rPr>
          <w:rFonts w:hint="eastAsia"/>
          <w:color w:val="000000" w:themeColor="text1"/>
          <w:spacing w:val="-4"/>
          <w:kern w:val="0"/>
          <w:vertAlign w:val="superscript"/>
        </w:rPr>
        <w:t>＊</w:t>
      </w:r>
      <w:r>
        <w:rPr>
          <w:rFonts w:hint="eastAsia"/>
          <w:color w:val="000000" w:themeColor="text1"/>
        </w:rPr>
        <w:t>及び医療的ケア児</w:t>
      </w:r>
      <w:r>
        <w:rPr>
          <w:rFonts w:hint="eastAsia"/>
          <w:color w:val="000000" w:themeColor="text1"/>
        </w:rPr>
        <w:t>(</w:t>
      </w:r>
      <w:r>
        <w:rPr>
          <w:rFonts w:hint="eastAsia"/>
          <w:color w:val="000000" w:themeColor="text1"/>
        </w:rPr>
        <w:t>者</w:t>
      </w:r>
      <w:r>
        <w:rPr>
          <w:rFonts w:hint="eastAsia"/>
          <w:color w:val="000000" w:themeColor="text1"/>
        </w:rPr>
        <w:t>)</w:t>
      </w:r>
      <w:r>
        <w:rPr>
          <w:rFonts w:hint="eastAsia"/>
          <w:color w:val="000000" w:themeColor="text1"/>
        </w:rPr>
        <w:t>並びにその家族が、住み慣れた身近な地域で安心して在宅生活を過ごせるよう、在宅支援を担う医療・福祉等の人材の養成・確保や在宅生活を支えるサービスの充実を図る必要があります。</w:t>
      </w:r>
    </w:p>
    <w:p>
      <w:pPr>
        <w:pStyle w:val="0"/>
        <w:rPr>
          <w:rFonts w:hint="default"/>
          <w:color w:val="000000" w:themeColor="text1"/>
        </w:rPr>
      </w:pPr>
    </w:p>
    <w:p>
      <w:pPr>
        <w:pStyle w:val="0"/>
        <w:rPr>
          <w:rFonts w:hint="default"/>
          <w:color w:val="000000" w:themeColor="text1"/>
        </w:rPr>
      </w:pPr>
      <w:r>
        <w:rPr>
          <w:rFonts w:hint="eastAsia" w:ascii="ＭＳ ゴシック" w:hAnsi="ＭＳ ゴシック" w:eastAsia="ＭＳ ゴシック"/>
          <w:color w:val="000000" w:themeColor="text1"/>
        </w:rPr>
        <w:t>【県の取組】</w:t>
      </w:r>
    </w:p>
    <w:p>
      <w:pPr>
        <w:pStyle w:val="0"/>
        <w:numPr>
          <w:ilvl w:val="0"/>
          <w:numId w:val="126"/>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医療的ケアを必要とする児童生徒が安全安心な学校生活を送ることができるよう、「医療的ケアの手引き」や「連携協議会」の情報を市町に提供していきます。また、今後医療的ケアを必要とする児童生徒の受入れを検討している市町に対して、既に受入れをしている市町の先進的な取組の紹介や、情報交換を行うなど、市町の体制整備に向けた支援に努めます。</w:t>
      </w:r>
      <w:r>
        <w:rPr>
          <w:rFonts w:hint="eastAsia"/>
          <w:color w:val="000000" w:themeColor="text1"/>
          <w:spacing w:val="-4"/>
          <w:kern w:val="0"/>
          <w:sz w:val="16"/>
        </w:rPr>
        <w:t>[</w:t>
      </w:r>
      <w:r>
        <w:rPr>
          <w:rFonts w:hint="eastAsia"/>
          <w:color w:val="000000" w:themeColor="text1"/>
          <w:spacing w:val="-4"/>
          <w:kern w:val="0"/>
          <w:sz w:val="16"/>
        </w:rPr>
        <w:t>教育委員会</w:t>
      </w:r>
      <w:r>
        <w:rPr>
          <w:rFonts w:hint="eastAsia"/>
          <w:color w:val="000000" w:themeColor="text1"/>
          <w:spacing w:val="-4"/>
          <w:kern w:val="0"/>
          <w:sz w:val="16"/>
        </w:rPr>
        <w:t>]</w:t>
      </w:r>
    </w:p>
    <w:p>
      <w:pPr>
        <w:pStyle w:val="0"/>
        <w:autoSpaceDE w:val="0"/>
        <w:autoSpaceDN w:val="0"/>
        <w:adjustRightInd w:val="0"/>
        <w:spacing w:line="360" w:lineRule="exact"/>
        <w:ind w:left="573"/>
        <w:jc w:val="left"/>
        <w:rPr>
          <w:rFonts w:hint="default"/>
          <w:color w:val="000000" w:themeColor="text1"/>
        </w:rPr>
      </w:pPr>
    </w:p>
    <w:p>
      <w:pPr>
        <w:pStyle w:val="0"/>
        <w:numPr>
          <w:ilvl w:val="0"/>
          <w:numId w:val="126"/>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医療的ケアを必要とする児童生徒が在籍する市町に対し看護師を配置しやすいよう、国の補助制度について周知します。また、看護師協会と連携を図り、看護師の配置につながるよう努めます。</w:t>
      </w:r>
      <w:r>
        <w:rPr>
          <w:rFonts w:hint="eastAsia"/>
          <w:color w:val="000000" w:themeColor="text1"/>
          <w:spacing w:val="-4"/>
          <w:kern w:val="0"/>
          <w:sz w:val="16"/>
        </w:rPr>
        <w:t>[</w:t>
      </w:r>
      <w:r>
        <w:rPr>
          <w:rFonts w:hint="eastAsia"/>
          <w:color w:val="000000" w:themeColor="text1"/>
          <w:spacing w:val="-4"/>
          <w:kern w:val="0"/>
          <w:sz w:val="16"/>
        </w:rPr>
        <w:t>教育委員会</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rPr>
      </w:pPr>
    </w:p>
    <w:p>
      <w:pPr>
        <w:pStyle w:val="0"/>
        <w:numPr>
          <w:ilvl w:val="0"/>
          <w:numId w:val="126"/>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既に看護師を配置している特別支援学校</w:t>
      </w:r>
      <w:r>
        <w:rPr>
          <w:rFonts w:hint="eastAsia"/>
          <w:spacing w:val="-4"/>
          <w:kern w:val="0"/>
          <w:vertAlign w:val="superscript"/>
        </w:rPr>
        <w:t>＊</w:t>
      </w:r>
      <w:r>
        <w:rPr>
          <w:rFonts w:hint="eastAsia"/>
          <w:color w:val="000000" w:themeColor="text1"/>
        </w:rPr>
        <w:t>では、令和４年度から人工呼吸器管理のモデル的取組を実施し、児童生徒の自立心の育成及び保護者による付添いの負担軽減に努めます。</w:t>
      </w:r>
      <w:r>
        <w:rPr>
          <w:rFonts w:hint="eastAsia"/>
          <w:color w:val="000000" w:themeColor="text1"/>
          <w:spacing w:val="-4"/>
          <w:kern w:val="0"/>
          <w:sz w:val="16"/>
        </w:rPr>
        <w:t>[</w:t>
      </w:r>
      <w:r>
        <w:rPr>
          <w:rFonts w:hint="eastAsia"/>
          <w:color w:val="000000" w:themeColor="text1"/>
          <w:spacing w:val="-4"/>
          <w:kern w:val="0"/>
          <w:sz w:val="16"/>
        </w:rPr>
        <w:t>教育委員会</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rPr>
      </w:pPr>
    </w:p>
    <w:p>
      <w:pPr>
        <w:pStyle w:val="0"/>
        <w:numPr>
          <w:ilvl w:val="0"/>
          <w:numId w:val="126"/>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在宅の重症心身障害児</w:t>
      </w:r>
      <w:r>
        <w:rPr>
          <w:rFonts w:hint="default"/>
          <w:color w:val="000000" w:themeColor="text1"/>
          <w:kern w:val="0"/>
        </w:rPr>
        <w:t>（</w:t>
      </w:r>
      <w:r>
        <w:rPr>
          <w:rFonts w:hint="eastAsia"/>
          <w:color w:val="000000" w:themeColor="text1"/>
          <w:kern w:val="0"/>
        </w:rPr>
        <w:t>者）</w:t>
      </w:r>
      <w:r>
        <w:rPr>
          <w:rFonts w:hint="eastAsia"/>
          <w:color w:val="000000" w:themeColor="text1"/>
          <w:spacing w:val="-4"/>
          <w:kern w:val="0"/>
          <w:vertAlign w:val="superscript"/>
        </w:rPr>
        <w:t>＊</w:t>
      </w:r>
      <w:r>
        <w:rPr>
          <w:rFonts w:hint="eastAsia"/>
          <w:color w:val="000000" w:themeColor="text1"/>
          <w:kern w:val="0"/>
        </w:rPr>
        <w:t>及び医療的ケア児（者）</w:t>
      </w:r>
      <w:r>
        <w:rPr>
          <w:rFonts w:hint="eastAsia"/>
          <w:kern w:val="0"/>
        </w:rPr>
        <w:t>とその家族が、住み慣れた身近な地域で安心して在宅生活を過ごせるように居宅介護（ホームヘルプサービス）</w:t>
      </w:r>
      <w:r>
        <w:rPr>
          <w:rFonts w:hint="eastAsia"/>
          <w:kern w:val="0"/>
          <w:vertAlign w:val="superscript"/>
        </w:rPr>
        <w:t>＊</w:t>
      </w:r>
      <w:r>
        <w:rPr>
          <w:rFonts w:hint="eastAsia"/>
          <w:kern w:val="0"/>
        </w:rPr>
        <w:t>、日中活動、訪問看護、通所施設における看護師配置の促進、医療機関による短期入所（ショートステイ）</w:t>
      </w:r>
      <w:r>
        <w:rPr>
          <w:rFonts w:hint="eastAsia"/>
          <w:spacing w:val="-4"/>
          <w:kern w:val="0"/>
          <w:vertAlign w:val="superscript"/>
        </w:rPr>
        <w:t>＊</w:t>
      </w:r>
      <w:r>
        <w:rPr>
          <w:rFonts w:hint="eastAsia"/>
          <w:kern w:val="0"/>
        </w:rPr>
        <w:t>、</w:t>
      </w:r>
      <w:r>
        <w:rPr>
          <w:rFonts w:hint="eastAsia"/>
          <w:color w:val="000000" w:themeColor="text1"/>
          <w:kern w:val="0"/>
        </w:rPr>
        <w:t>リハビリテーションの実施などの在宅支援サービスの拡充に努めます。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rPr>
      </w:pPr>
    </w:p>
    <w:p>
      <w:pPr>
        <w:pStyle w:val="0"/>
        <w:numPr>
          <w:ilvl w:val="0"/>
          <w:numId w:val="126"/>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看護、介護、福祉職等への研修や医療、看護、介護、福祉、</w:t>
      </w:r>
      <w:r>
        <w:rPr>
          <w:rFonts w:hint="eastAsia"/>
          <w:color w:val="000000" w:themeColor="text1"/>
          <w:u w:val="none" w:color="auto"/>
        </w:rPr>
        <w:t>教育職など</w:t>
      </w:r>
      <w:r>
        <w:rPr>
          <w:rFonts w:hint="eastAsia"/>
          <w:color w:val="000000" w:themeColor="text1"/>
        </w:rPr>
        <w:t>といった多職種のネットワーク化により、重症心身障害児（者）</w:t>
      </w:r>
      <w:r>
        <w:rPr>
          <w:rFonts w:hint="eastAsia"/>
          <w:color w:val="000000" w:themeColor="text1"/>
          <w:spacing w:val="-4"/>
          <w:kern w:val="0"/>
          <w:vertAlign w:val="superscript"/>
        </w:rPr>
        <w:t>＊</w:t>
      </w:r>
      <w:r>
        <w:rPr>
          <w:rFonts w:hint="eastAsia"/>
          <w:color w:val="000000" w:themeColor="text1"/>
        </w:rPr>
        <w:t>及び医療的ケア児（者）の在宅支援を担う人材を確保し、支援体制の充実に努めます。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rPr>
      </w:pPr>
    </w:p>
    <w:p>
      <w:pPr>
        <w:pStyle w:val="0"/>
        <w:numPr>
          <w:ilvl w:val="0"/>
          <w:numId w:val="126"/>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在宅の重症心身障害児（者）及び医療的ケア児（者）の介護ニーズは、</w:t>
      </w:r>
      <w:r>
        <w:rPr>
          <w:rFonts w:hint="default"/>
          <w:color w:val="000000" w:themeColor="text1"/>
          <w:kern w:val="0"/>
        </w:rPr>
        <w:t>24</w:t>
      </w:r>
      <w:r>
        <w:rPr>
          <w:rFonts w:hint="eastAsia"/>
          <w:color w:val="000000" w:themeColor="text1"/>
          <w:kern w:val="0"/>
        </w:rPr>
        <w:t>時間対応等の包括的・継続的なサービス提供が不可欠であるため、地域における行政、福祉、教育、医療等の連携を図り、関係機関との間で総合調整を行うコーディネーターを養成します。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rPr>
      </w:pPr>
    </w:p>
    <w:p>
      <w:pPr>
        <w:pStyle w:val="0"/>
        <w:numPr>
          <w:ilvl w:val="0"/>
          <w:numId w:val="126"/>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重症心身障害児（者）及び医療的ケア児（者）の生活の質の向上のため、日中活動の充実など環境整備に努めます。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rPr>
      </w:pPr>
    </w:p>
    <w:p>
      <w:pPr>
        <w:pStyle w:val="0"/>
        <w:numPr>
          <w:ilvl w:val="0"/>
          <w:numId w:val="126"/>
        </w:numPr>
        <w:autoSpaceDE w:val="0"/>
        <w:autoSpaceDN w:val="0"/>
        <w:adjustRightInd w:val="0"/>
        <w:spacing w:line="360" w:lineRule="exact"/>
        <w:ind w:left="573" w:hanging="357"/>
        <w:jc w:val="left"/>
        <w:rPr>
          <w:rFonts w:hint="default"/>
        </w:rPr>
      </w:pPr>
      <w:r>
        <w:rPr>
          <w:rFonts w:hint="eastAsia"/>
          <w:color w:val="000000" w:themeColor="text1"/>
        </w:rPr>
        <w:t>医療的ケア児</w:t>
      </w:r>
      <w:r>
        <w:rPr>
          <w:rFonts w:hint="eastAsia"/>
          <w:color w:val="000000" w:themeColor="text1"/>
          <w:u w:val="none" w:color="auto"/>
        </w:rPr>
        <w:t>等支援センター</w:t>
      </w:r>
      <w:r>
        <w:rPr>
          <w:rFonts w:hint="eastAsia"/>
          <w:color w:val="000000" w:themeColor="text1"/>
          <w:spacing w:val="-4"/>
          <w:kern w:val="0"/>
          <w:u w:val="none" w:color="auto"/>
          <w:vertAlign w:val="superscript"/>
        </w:rPr>
        <w:t>＊</w:t>
      </w:r>
      <w:r>
        <w:rPr>
          <w:rFonts w:hint="eastAsia"/>
          <w:color w:val="000000" w:themeColor="text1"/>
          <w:u w:val="none" w:color="auto"/>
        </w:rPr>
        <w:t>を設置し</w:t>
      </w:r>
      <w:r>
        <w:rPr>
          <w:rFonts w:hint="eastAsia"/>
          <w:color w:val="000000" w:themeColor="text1"/>
        </w:rPr>
        <w:t>、専門的な相談への対応、情報提供等を行うとともに、市町等に配置される医療的ケア児コーディネーターと連携して医療的ケア児及びその家族を支援します。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rPr>
      </w:pPr>
    </w:p>
    <w:p>
      <w:pPr>
        <w:pStyle w:val="0"/>
        <w:rPr>
          <w:rFonts w:hint="default" w:ascii="ＭＳ ゴシック" w:hAnsi="ＭＳ ゴシック" w:eastAsia="ＭＳ ゴシック"/>
        </w:rPr>
      </w:pPr>
      <w:r>
        <w:rPr>
          <w:rFonts w:hint="eastAsia" w:ascii="ＭＳ ゴシック" w:hAnsi="ＭＳ ゴシック" w:eastAsia="ＭＳ ゴシック"/>
        </w:rPr>
        <w:t>【数値目標】</w:t>
      </w:r>
    </w:p>
    <w:tbl>
      <w:tblPr>
        <w:tblStyle w:val="11"/>
        <w:tblW w:w="9687"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38"/>
        <w:gridCol w:w="4871"/>
        <w:gridCol w:w="2189"/>
        <w:gridCol w:w="2189"/>
      </w:tblGrid>
      <w:tr>
        <w:trPr>
          <w:trHeight w:val="240"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center"/>
              <w:rPr>
                <w:rFonts w:hint="default"/>
              </w:rPr>
            </w:pPr>
            <w:r>
              <w:rPr>
                <w:rFonts w:hint="eastAsia"/>
              </w:rPr>
              <w:t>現状値</w:t>
            </w:r>
          </w:p>
        </w:tc>
        <w:tc>
          <w:tcPr>
            <w:tcW w:w="2189" w:type="dxa"/>
            <w:vAlign w:val="center"/>
          </w:tcPr>
          <w:p>
            <w:pPr>
              <w:pStyle w:val="0"/>
              <w:jc w:val="center"/>
              <w:rPr>
                <w:rFonts w:hint="default"/>
              </w:rPr>
            </w:pPr>
            <w:r>
              <w:rPr>
                <w:rFonts w:hint="eastAsia"/>
              </w:rPr>
              <w:t>目標値</w:t>
            </w:r>
          </w:p>
        </w:tc>
      </w:tr>
      <w:tr>
        <w:trPr>
          <w:trHeight w:val="515"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重症心身障害児（者）</w:t>
            </w:r>
            <w:r>
              <w:rPr>
                <w:rFonts w:hint="eastAsia"/>
                <w:color w:val="000000" w:themeColor="text1"/>
                <w:spacing w:val="-4"/>
                <w:kern w:val="0"/>
                <w:vertAlign w:val="superscript"/>
              </w:rPr>
              <w:t>＊</w:t>
            </w:r>
            <w:r>
              <w:rPr>
                <w:rFonts w:hint="eastAsia"/>
              </w:rPr>
              <w:t>の支援に携わる専門人材養成数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2018</w:t>
            </w:r>
            <w:r>
              <w:rPr>
                <w:rFonts w:hint="eastAsia"/>
                <w:color w:val="000000" w:themeColor="text1"/>
              </w:rPr>
              <w:t>～</w:t>
            </w:r>
            <w:r>
              <w:rPr>
                <w:rFonts w:hint="eastAsia"/>
                <w:color w:val="000000" w:themeColor="text1"/>
              </w:rPr>
              <w:t>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313</w:t>
            </w:r>
            <w:r>
              <w:rPr>
                <w:rFonts w:hint="eastAsia"/>
                <w:color w:val="000000" w:themeColor="text1"/>
              </w:rPr>
              <w:t>人</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2022</w:t>
            </w:r>
            <w:r>
              <w:rPr>
                <w:rFonts w:hint="eastAsia"/>
                <w:color w:val="000000" w:themeColor="text1"/>
              </w:rPr>
              <w:t>～</w:t>
            </w:r>
            <w:r>
              <w:rPr>
                <w:rFonts w:hint="eastAsia"/>
                <w:color w:val="000000" w:themeColor="text1"/>
              </w:rPr>
              <w:t>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500</w:t>
            </w:r>
            <w:r>
              <w:rPr>
                <w:rFonts w:hint="eastAsia"/>
                <w:color w:val="000000" w:themeColor="text1"/>
              </w:rPr>
              <w:t>人</w:t>
            </w:r>
          </w:p>
        </w:tc>
      </w:tr>
    </w:tbl>
    <w:p>
      <w:pPr>
        <w:pStyle w:val="0"/>
        <w:ind w:left="480" w:hanging="480" w:hangingChars="200"/>
        <w:outlineLvl w:val="1"/>
        <w:rPr>
          <w:rFonts w:hint="default" w:ascii="ＭＳ ゴシック" w:hAnsi="ＭＳ ゴシック" w:eastAsia="ＭＳ ゴシック"/>
          <w:u w:val="single" w:color="auto"/>
        </w:rPr>
      </w:pPr>
      <w:r>
        <w:rPr>
          <w:rFonts w:hint="eastAsia"/>
        </w:rPr>
        <w:br w:type="page"/>
      </w:r>
      <w:bookmarkStart w:id="138" w:name="_Toc503474100"/>
      <w:bookmarkEnd w:id="138"/>
      <w:r>
        <w:rPr>
          <w:rFonts w:hint="eastAsia" w:ascii="ＭＳ ゴシック" w:hAnsi="ＭＳ ゴシック" w:eastAsia="ＭＳ ゴシック"/>
          <w:sz w:val="26"/>
          <w:u w:val="single" w:color="auto"/>
        </w:rPr>
        <w:t>４　発達障害</w:t>
      </w:r>
      <w:r>
        <w:rPr>
          <w:rFonts w:hint="eastAsia"/>
          <w:spacing w:val="-4"/>
          <w:kern w:val="0"/>
          <w:vertAlign w:val="superscript"/>
        </w:rPr>
        <w:t>＊</w:t>
      </w:r>
      <w:r>
        <w:rPr>
          <w:rFonts w:hint="eastAsia" w:ascii="ＭＳ ゴシック" w:hAnsi="ＭＳ ゴシック" w:eastAsia="ＭＳ ゴシック"/>
          <w:sz w:val="26"/>
          <w:u w:val="single" w:color="auto"/>
        </w:rPr>
        <w:t>のある人に対する支援の充実</w:t>
      </w:r>
    </w:p>
    <w:p>
      <w:pPr>
        <w:pStyle w:val="0"/>
        <w:outlineLvl w:val="2"/>
        <w:rPr>
          <w:rFonts w:hint="default"/>
        </w:rPr>
      </w:pPr>
      <w:bookmarkStart w:id="139" w:name="_Toc503474101"/>
      <w:bookmarkEnd w:id="139"/>
      <w:r>
        <w:rPr>
          <w:rFonts w:hint="eastAsia" w:ascii="ＭＳ ゴシック" w:hAnsi="ＭＳ ゴシック" w:eastAsia="ＭＳ ゴシック"/>
        </w:rPr>
        <w:t>（１）発達障害のある人に対する支援</w:t>
      </w:r>
    </w:p>
    <w:p>
      <w:pPr>
        <w:pStyle w:val="0"/>
        <w:rPr>
          <w:rFonts w:hint="default"/>
        </w:rPr>
      </w:pPr>
      <w:r>
        <w:rPr>
          <w:rFonts w:hint="eastAsia" w:ascii="ＭＳ ゴシック" w:hAnsi="ＭＳ ゴシック" w:eastAsia="ＭＳ ゴシック"/>
        </w:rPr>
        <w:t>【現状と課題】</w:t>
      </w:r>
    </w:p>
    <w:p>
      <w:pPr>
        <w:pStyle w:val="0"/>
        <w:numPr>
          <w:ilvl w:val="0"/>
          <w:numId w:val="29"/>
        </w:numPr>
        <w:autoSpaceDE w:val="0"/>
        <w:autoSpaceDN w:val="0"/>
        <w:adjustRightInd w:val="0"/>
        <w:spacing w:line="360" w:lineRule="exact"/>
        <w:ind w:left="573" w:hanging="357"/>
        <w:jc w:val="left"/>
        <w:rPr>
          <w:rFonts w:hint="default"/>
        </w:rPr>
      </w:pPr>
      <w:r>
        <w:rPr>
          <w:rFonts w:hint="eastAsia"/>
        </w:rPr>
        <w:t>自閉症スペクトラム障害</w:t>
      </w:r>
      <w:r>
        <w:rPr>
          <w:rFonts w:hint="eastAsia"/>
          <w:color w:val="000000" w:themeColor="text1"/>
          <w:spacing w:val="-4"/>
          <w:kern w:val="0"/>
          <w:vertAlign w:val="superscript"/>
        </w:rPr>
        <w:t>＊</w:t>
      </w:r>
      <w:r>
        <w:rPr>
          <w:rFonts w:hint="eastAsia"/>
        </w:rPr>
        <w:t>、学習障害</w:t>
      </w:r>
      <w:r>
        <w:rPr>
          <w:rFonts w:hint="eastAsia"/>
          <w:kern w:val="0"/>
          <w:vertAlign w:val="superscript"/>
        </w:rPr>
        <w:t>＊</w:t>
      </w:r>
      <w:r>
        <w:rPr>
          <w:rFonts w:hint="eastAsia"/>
        </w:rPr>
        <w:t>、注意欠陥多動性障害</w:t>
      </w:r>
      <w:r>
        <w:rPr>
          <w:rFonts w:hint="eastAsia"/>
          <w:spacing w:val="-4"/>
          <w:kern w:val="0"/>
          <w:vertAlign w:val="superscript"/>
        </w:rPr>
        <w:t>＊</w:t>
      </w:r>
      <w:r>
        <w:rPr>
          <w:rFonts w:hint="eastAsia"/>
        </w:rPr>
        <w:t>等の発達障害</w:t>
      </w:r>
      <w:r>
        <w:rPr>
          <w:rFonts w:hint="eastAsia"/>
          <w:spacing w:val="-4"/>
          <w:kern w:val="0"/>
          <w:vertAlign w:val="superscript"/>
        </w:rPr>
        <w:t>＊</w:t>
      </w:r>
      <w:r>
        <w:rPr>
          <w:rFonts w:hint="eastAsia"/>
        </w:rPr>
        <w:t>のある人に対し、「静岡県における今後の</w:t>
      </w:r>
      <w:r>
        <w:rPr>
          <w:rFonts w:hint="eastAsia"/>
          <w:color w:val="auto"/>
          <w:u w:val="none" w:color="auto"/>
        </w:rPr>
        <w:t>発達障害者</w:t>
      </w:r>
      <w:r>
        <w:rPr>
          <w:rFonts w:hint="eastAsia"/>
        </w:rPr>
        <w:t>支援のあり方」を踏まえたライフステージを通じた支援体制の確立や身近な地域における支援体制の確立が必要です。</w:t>
      </w:r>
    </w:p>
    <w:p>
      <w:pPr>
        <w:pStyle w:val="0"/>
        <w:autoSpaceDE w:val="0"/>
        <w:autoSpaceDN w:val="0"/>
        <w:adjustRightInd w:val="0"/>
        <w:spacing w:line="360" w:lineRule="exact"/>
        <w:ind w:left="573"/>
        <w:jc w:val="left"/>
        <w:rPr>
          <w:rFonts w:hint="default"/>
        </w:rPr>
      </w:pPr>
    </w:p>
    <w:p>
      <w:pPr>
        <w:pStyle w:val="0"/>
        <w:numPr>
          <w:ilvl w:val="0"/>
          <w:numId w:val="29"/>
        </w:numPr>
        <w:autoSpaceDE w:val="0"/>
        <w:autoSpaceDN w:val="0"/>
        <w:adjustRightInd w:val="0"/>
        <w:spacing w:line="360" w:lineRule="exact"/>
        <w:ind w:left="573" w:hanging="357"/>
        <w:jc w:val="left"/>
        <w:rPr>
          <w:rFonts w:hint="default"/>
          <w:color w:val="000000" w:themeColor="text1"/>
        </w:rPr>
      </w:pPr>
      <w:r>
        <w:rPr>
          <w:rFonts w:hint="eastAsia"/>
        </w:rPr>
        <w:t>個々の発達障害</w:t>
      </w:r>
      <w:r>
        <w:rPr>
          <w:rFonts w:hint="eastAsia"/>
          <w:spacing w:val="-4"/>
          <w:kern w:val="0"/>
          <w:vertAlign w:val="superscript"/>
        </w:rPr>
        <w:t>＊</w:t>
      </w:r>
      <w:r>
        <w:rPr>
          <w:rFonts w:hint="eastAsia"/>
        </w:rPr>
        <w:t>の特性等を理解し、</w:t>
      </w:r>
      <w:r>
        <w:rPr>
          <w:rFonts w:hint="eastAsia"/>
          <w:color w:val="000000" w:themeColor="text1"/>
        </w:rPr>
        <w:t>相談支援従事者、保育士など必要な専門的知識を有する人材を確保する必要があります。</w:t>
      </w:r>
    </w:p>
    <w:p>
      <w:pPr>
        <w:pStyle w:val="0"/>
        <w:autoSpaceDE w:val="0"/>
        <w:autoSpaceDN w:val="0"/>
        <w:adjustRightInd w:val="0"/>
        <w:spacing w:line="360" w:lineRule="exact"/>
        <w:jc w:val="left"/>
        <w:rPr>
          <w:rFonts w:hint="default"/>
          <w:color w:val="000000" w:themeColor="text1"/>
        </w:rPr>
      </w:pPr>
    </w:p>
    <w:p>
      <w:pPr>
        <w:pStyle w:val="0"/>
        <w:numPr>
          <w:ilvl w:val="0"/>
          <w:numId w:val="29"/>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発達障害</w:t>
      </w:r>
      <w:r>
        <w:rPr>
          <w:rFonts w:hint="eastAsia"/>
          <w:spacing w:val="-4"/>
          <w:kern w:val="0"/>
          <w:vertAlign w:val="superscript"/>
        </w:rPr>
        <w:t>＊</w:t>
      </w:r>
      <w:r>
        <w:rPr>
          <w:rFonts w:hint="eastAsia"/>
          <w:color w:val="000000" w:themeColor="text1"/>
        </w:rPr>
        <w:t>のある人への支援については、医療、保健、福祉、教育、労働等に関する業務を行う関係機関及び関係団体との連携体制の強化や地域的な課題に取り組む必要があります。</w:t>
      </w:r>
    </w:p>
    <w:p>
      <w:pPr>
        <w:pStyle w:val="0"/>
        <w:autoSpaceDE w:val="0"/>
        <w:autoSpaceDN w:val="0"/>
        <w:adjustRightInd w:val="0"/>
        <w:spacing w:line="360" w:lineRule="exact"/>
        <w:jc w:val="left"/>
        <w:rPr>
          <w:rFonts w:hint="default"/>
          <w:color w:val="000000" w:themeColor="text1"/>
        </w:rPr>
      </w:pPr>
    </w:p>
    <w:p>
      <w:pPr>
        <w:pStyle w:val="0"/>
        <w:numPr>
          <w:ilvl w:val="0"/>
          <w:numId w:val="29"/>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身近な地域での相談支援機能の充実を図るため、</w:t>
      </w:r>
      <w:r>
        <w:rPr>
          <w:rFonts w:hint="eastAsia"/>
          <w:color w:val="000000" w:themeColor="text1"/>
        </w:rPr>
        <w:t>2020</w:t>
      </w:r>
      <w:r>
        <w:rPr>
          <w:rFonts w:hint="eastAsia"/>
          <w:color w:val="000000" w:themeColor="text1"/>
        </w:rPr>
        <w:t>年度から県発達障害者支援センター</w:t>
      </w:r>
      <w:r>
        <w:rPr>
          <w:rFonts w:hint="eastAsia"/>
          <w:spacing w:val="-4"/>
          <w:kern w:val="0"/>
          <w:vertAlign w:val="superscript"/>
        </w:rPr>
        <w:t>＊</w:t>
      </w:r>
      <w:r>
        <w:rPr>
          <w:rFonts w:hint="eastAsia"/>
          <w:color w:val="000000" w:themeColor="text1"/>
        </w:rPr>
        <w:t>を東部地域と中西部地域の２箇所体制とし、政令市のセンターと合わせて県全域の支援体制を構築しました。複雑化・多様化する相談へ対応するため、センターの運営を専門的な知識・経験を有する民間法人に委託しています。</w:t>
      </w:r>
    </w:p>
    <w:p>
      <w:pPr>
        <w:pStyle w:val="0"/>
        <w:numPr>
          <w:numId w:val="0"/>
        </w:numPr>
        <w:autoSpaceDE w:val="0"/>
        <w:autoSpaceDN w:val="0"/>
        <w:adjustRightInd w:val="0"/>
        <w:spacing w:line="360" w:lineRule="exact"/>
        <w:ind w:left="573" w:leftChars="0" w:firstLine="0" w:firstLineChars="0"/>
        <w:jc w:val="left"/>
        <w:rPr>
          <w:rFonts w:hint="default"/>
          <w:color w:val="000000" w:themeColor="text1"/>
        </w:rPr>
      </w:pPr>
    </w:p>
    <w:p>
      <w:pPr>
        <w:pStyle w:val="0"/>
        <w:numPr>
          <w:ilvl w:val="0"/>
          <w:numId w:val="29"/>
        </w:numPr>
        <w:autoSpaceDE w:val="0"/>
        <w:autoSpaceDN w:val="0"/>
        <w:adjustRightInd w:val="0"/>
        <w:spacing w:line="360" w:lineRule="exact"/>
        <w:ind w:left="573" w:hanging="357"/>
        <w:jc w:val="left"/>
        <w:rPr>
          <w:rFonts w:hint="default"/>
          <w:color w:val="000000" w:themeColor="text1"/>
        </w:rPr>
      </w:pPr>
      <w:r>
        <w:rPr>
          <w:rFonts w:hint="eastAsia"/>
          <w:color w:val="auto"/>
          <w:highlight w:val="none"/>
        </w:rPr>
        <w:t>発達障害のある人は、障害を有していることが理解されず、偏見や差別などの困難を抱えている場合があるため、発達障害についての正しい理解を促進するための取組が必要です。</w:t>
      </w:r>
    </w:p>
    <w:p>
      <w:pPr>
        <w:pStyle w:val="0"/>
        <w:rPr>
          <w:rFonts w:hint="default"/>
        </w:rPr>
      </w:pPr>
    </w:p>
    <w:p>
      <w:pPr>
        <w:pStyle w:val="0"/>
        <w:rPr>
          <w:rFonts w:hint="default"/>
        </w:rPr>
      </w:pPr>
      <w:r>
        <w:rPr>
          <w:rFonts w:hint="eastAsia" w:ascii="ＭＳ ゴシック" w:hAnsi="ＭＳ ゴシック" w:eastAsia="ＭＳ ゴシック"/>
        </w:rPr>
        <w:t>【県の取組】</w:t>
      </w:r>
    </w:p>
    <w:p>
      <w:pPr>
        <w:pStyle w:val="0"/>
        <w:numPr>
          <w:ilvl w:val="0"/>
          <w:numId w:val="127"/>
        </w:numPr>
        <w:autoSpaceDE w:val="0"/>
        <w:autoSpaceDN w:val="0"/>
        <w:adjustRightInd w:val="0"/>
        <w:spacing w:line="360" w:lineRule="exact"/>
        <w:ind w:left="579" w:hanging="363"/>
        <w:jc w:val="left"/>
        <w:rPr>
          <w:rFonts w:hint="default"/>
          <w:color w:val="000000" w:themeColor="text1"/>
          <w:spacing w:val="-4"/>
          <w:kern w:val="0"/>
        </w:rPr>
      </w:pPr>
      <w:r>
        <w:rPr>
          <w:rFonts w:hint="eastAsia"/>
          <w:kern w:val="0"/>
        </w:rPr>
        <w:t>発達障害者支援センター</w:t>
      </w:r>
      <w:r>
        <w:rPr>
          <w:rFonts w:hint="eastAsia"/>
          <w:spacing w:val="-4"/>
          <w:kern w:val="0"/>
          <w:vertAlign w:val="superscript"/>
        </w:rPr>
        <w:t>＊</w:t>
      </w:r>
      <w:r>
        <w:rPr>
          <w:rFonts w:hint="eastAsia"/>
          <w:kern w:val="0"/>
        </w:rPr>
        <w:t>において、市町や</w:t>
      </w:r>
      <w:r>
        <w:rPr>
          <w:rFonts w:hint="eastAsia"/>
          <w:color w:val="000000" w:themeColor="text1"/>
          <w:kern w:val="0"/>
        </w:rPr>
        <w:t>一般の相談支援事業所では対応困難な事案について専門的な立場から相談を受け付け、発達支援や就労支援を行うほか、市町などの関係機関に対する情報提供や研修等を実施します。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ind w:left="579"/>
        <w:jc w:val="left"/>
        <w:rPr>
          <w:rFonts w:hint="default"/>
          <w:color w:val="000000" w:themeColor="text1"/>
          <w:spacing w:val="-4"/>
          <w:kern w:val="0"/>
        </w:rPr>
      </w:pPr>
    </w:p>
    <w:p>
      <w:pPr>
        <w:pStyle w:val="0"/>
        <w:numPr>
          <w:ilvl w:val="0"/>
          <w:numId w:val="127"/>
        </w:numPr>
        <w:autoSpaceDE w:val="0"/>
        <w:autoSpaceDN w:val="0"/>
        <w:adjustRightInd w:val="0"/>
        <w:spacing w:line="360" w:lineRule="exact"/>
        <w:ind w:left="579" w:hanging="363"/>
        <w:jc w:val="left"/>
        <w:rPr>
          <w:rFonts w:hint="default"/>
        </w:rPr>
      </w:pPr>
      <w:r>
        <w:rPr>
          <w:rFonts w:hint="eastAsia"/>
          <w:color w:val="000000" w:themeColor="text1"/>
          <w:kern w:val="0"/>
        </w:rPr>
        <w:t>地域の医療機関</w:t>
      </w:r>
      <w:r>
        <w:rPr>
          <w:rFonts w:hint="eastAsia"/>
          <w:kern w:val="0"/>
        </w:rPr>
        <w:t>や支援機関の職員等を対象に専門家を養成するための研修会を開催し、地域での対応力の向上を図るほか、地域の療育拠点となる児童発達支援センター</w:t>
      </w:r>
      <w:r>
        <w:rPr>
          <w:rFonts w:hint="eastAsia"/>
          <w:spacing w:val="-4"/>
          <w:kern w:val="0"/>
          <w:vertAlign w:val="superscript"/>
        </w:rPr>
        <w:t>＊</w:t>
      </w:r>
      <w:r>
        <w:rPr>
          <w:rFonts w:hint="eastAsia"/>
          <w:kern w:val="0"/>
        </w:rPr>
        <w:t>の設置を促進し、障害児に対する重層的な支援体制の構築を図ります。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rPr>
      </w:pPr>
    </w:p>
    <w:p>
      <w:pPr>
        <w:pStyle w:val="0"/>
        <w:numPr>
          <w:ilvl w:val="0"/>
          <w:numId w:val="127"/>
        </w:numPr>
        <w:autoSpaceDE w:val="0"/>
        <w:autoSpaceDN w:val="0"/>
        <w:adjustRightInd w:val="0"/>
        <w:spacing w:line="360" w:lineRule="exact"/>
        <w:ind w:left="579" w:hanging="363"/>
        <w:jc w:val="left"/>
        <w:rPr>
          <w:rFonts w:hint="default" w:ascii="ＭＳ ゴシック" w:hAnsi="ＭＳ ゴシック" w:eastAsia="ＭＳ ゴシック"/>
          <w:b w:val="1"/>
          <w:sz w:val="22"/>
        </w:rPr>
      </w:pPr>
      <w:r>
        <w:rPr>
          <w:rFonts w:hint="eastAsia"/>
          <w:kern w:val="0"/>
        </w:rPr>
        <w:t>医療、保健、福祉、教育、労働等の関係者から構成される「静岡県発達障害者支援地域協議会」において、施策の評価や進捗管理を行い、地域課題への対応や関係機関等の連携の緊密化を図る仕組みを構築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ascii="ＭＳ ゴシック" w:hAnsi="ＭＳ ゴシック" w:eastAsia="ＭＳ ゴシック"/>
          <w:b w:val="1"/>
          <w:sz w:val="22"/>
        </w:rPr>
      </w:pPr>
    </w:p>
    <w:p>
      <w:pPr>
        <w:pStyle w:val="0"/>
        <w:numPr>
          <w:ilvl w:val="0"/>
          <w:numId w:val="127"/>
        </w:numPr>
        <w:autoSpaceDE w:val="0"/>
        <w:autoSpaceDN w:val="0"/>
        <w:adjustRightInd w:val="0"/>
        <w:spacing w:line="360" w:lineRule="exact"/>
        <w:ind w:left="579" w:hanging="363"/>
        <w:jc w:val="left"/>
        <w:rPr>
          <w:rFonts w:hint="default"/>
        </w:rPr>
      </w:pPr>
      <w:r>
        <w:rPr>
          <w:rFonts w:hint="eastAsia"/>
          <w:kern w:val="0"/>
        </w:rPr>
        <w:t>発達障害</w:t>
      </w:r>
      <w:r>
        <w:rPr>
          <w:rFonts w:hint="eastAsia"/>
          <w:spacing w:val="-4"/>
          <w:kern w:val="0"/>
          <w:vertAlign w:val="superscript"/>
        </w:rPr>
        <w:t>＊</w:t>
      </w:r>
      <w:r>
        <w:rPr>
          <w:rFonts w:hint="eastAsia"/>
          <w:kern w:val="0"/>
        </w:rPr>
        <w:t>のある子どもをサポートする支援員の配置、学習障害等に対応した通級指導教室</w:t>
      </w:r>
      <w:r>
        <w:rPr>
          <w:rFonts w:hint="eastAsia"/>
          <w:spacing w:val="-4"/>
          <w:kern w:val="0"/>
          <w:vertAlign w:val="superscript"/>
        </w:rPr>
        <w:t>＊</w:t>
      </w:r>
      <w:r>
        <w:rPr>
          <w:rFonts w:hint="eastAsia"/>
          <w:kern w:val="0"/>
        </w:rPr>
        <w:t>の充実、高校段階での支援や教育の在り方の検討などを行い、様々な障害のある子どもを支援します。</w:t>
      </w:r>
      <w:r>
        <w:rPr>
          <w:rFonts w:hint="eastAsia"/>
          <w:spacing w:val="-4"/>
          <w:kern w:val="0"/>
          <w:sz w:val="16"/>
        </w:rPr>
        <w:t>[</w:t>
      </w:r>
      <w:r>
        <w:rPr>
          <w:rFonts w:hint="eastAsia"/>
          <w:spacing w:val="-4"/>
          <w:kern w:val="0"/>
          <w:sz w:val="16"/>
        </w:rPr>
        <w:t>教育委員会</w:t>
      </w:r>
      <w:r>
        <w:rPr>
          <w:rFonts w:hint="eastAsia"/>
          <w:spacing w:val="-4"/>
          <w:kern w:val="0"/>
          <w:sz w:val="16"/>
        </w:rPr>
        <w:t>]</w:t>
      </w:r>
    </w:p>
    <w:p>
      <w:pPr>
        <w:pStyle w:val="0"/>
        <w:numPr>
          <w:numId w:val="0"/>
        </w:numPr>
        <w:autoSpaceDE w:val="0"/>
        <w:autoSpaceDN w:val="0"/>
        <w:adjustRightInd w:val="0"/>
        <w:spacing w:line="360" w:lineRule="exact"/>
        <w:ind w:left="579" w:leftChars="0" w:firstLine="0" w:firstLineChars="0"/>
        <w:jc w:val="left"/>
        <w:rPr>
          <w:rFonts w:hint="default"/>
        </w:rPr>
      </w:pPr>
    </w:p>
    <w:p>
      <w:pPr>
        <w:pStyle w:val="0"/>
        <w:numPr>
          <w:ilvl w:val="0"/>
          <w:numId w:val="127"/>
        </w:numPr>
        <w:autoSpaceDE w:val="0"/>
        <w:autoSpaceDN w:val="0"/>
        <w:adjustRightInd w:val="0"/>
        <w:spacing w:line="360" w:lineRule="exact"/>
        <w:ind w:left="579" w:hanging="363"/>
        <w:jc w:val="left"/>
        <w:rPr>
          <w:rFonts w:hint="default"/>
          <w:color w:val="auto"/>
          <w:highlight w:val="none"/>
        </w:rPr>
      </w:pPr>
      <w:r>
        <w:rPr>
          <w:rFonts w:hint="eastAsia"/>
          <w:color w:val="auto"/>
          <w:highlight w:val="none"/>
        </w:rPr>
        <w:t>県発達障害者支援センターにおいて、発達障害の特性に関する理解を深めるための研修等を実施するとともに、「世界自閉症啓発デー」や「発達障害啓発週間」等の機会をとらえ、関係団体や市町と連携を図りながら発達障害のある人に対する理解を図るための啓発に取り組みます。</w:t>
      </w:r>
      <w:r>
        <w:rPr>
          <w:rFonts w:hint="eastAsia"/>
          <w:color w:val="auto"/>
          <w:spacing w:val="-4"/>
          <w:kern w:val="0"/>
          <w:sz w:val="16"/>
          <w:highlight w:val="none"/>
        </w:rPr>
        <w:t>[</w:t>
      </w:r>
      <w:r>
        <w:rPr>
          <w:rFonts w:hint="eastAsia"/>
          <w:color w:val="auto"/>
          <w:spacing w:val="-4"/>
          <w:kern w:val="0"/>
          <w:sz w:val="16"/>
          <w:highlight w:val="none"/>
        </w:rPr>
        <w:t>健康福祉部障害者支援局</w:t>
      </w:r>
      <w:r>
        <w:rPr>
          <w:rFonts w:hint="eastAsia"/>
          <w:color w:val="auto"/>
          <w:spacing w:val="-4"/>
          <w:kern w:val="0"/>
          <w:sz w:val="16"/>
          <w:highlight w:val="none"/>
        </w:rPr>
        <w:t>]</w:t>
      </w:r>
    </w:p>
    <w:p>
      <w:pPr>
        <w:pStyle w:val="0"/>
        <w:autoSpaceDE w:val="0"/>
        <w:autoSpaceDN w:val="0"/>
        <w:adjustRightInd w:val="0"/>
        <w:jc w:val="left"/>
        <w:rPr>
          <w:rFonts w:hint="default"/>
        </w:rPr>
      </w:pPr>
    </w:p>
    <w:p>
      <w:pPr>
        <w:pStyle w:val="0"/>
        <w:autoSpaceDE w:val="0"/>
        <w:autoSpaceDN w:val="0"/>
        <w:adjustRightInd w:val="0"/>
        <w:jc w:val="left"/>
        <w:rPr>
          <w:rFonts w:hint="default"/>
        </w:rPr>
      </w:pPr>
      <w:r>
        <w:rPr>
          <w:rFonts w:hint="eastAsia" w:ascii="ＭＳ ゴシック" w:hAnsi="ＭＳ ゴシック" w:eastAsia="ＭＳ ゴシック"/>
        </w:rPr>
        <w:t>【数値目標】</w:t>
      </w:r>
    </w:p>
    <w:tbl>
      <w:tblPr>
        <w:tblStyle w:val="11"/>
        <w:tblW w:w="9687"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38"/>
        <w:gridCol w:w="4871"/>
        <w:gridCol w:w="2189"/>
        <w:gridCol w:w="2189"/>
      </w:tblGrid>
      <w:tr>
        <w:trPr>
          <w:trHeight w:val="283"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center"/>
              <w:rPr>
                <w:rFonts w:hint="default"/>
              </w:rPr>
            </w:pPr>
            <w:r>
              <w:rPr>
                <w:rFonts w:hint="eastAsia"/>
              </w:rPr>
              <w:t>現状値</w:t>
            </w:r>
          </w:p>
        </w:tc>
        <w:tc>
          <w:tcPr>
            <w:tcW w:w="2189" w:type="dxa"/>
            <w:vAlign w:val="center"/>
          </w:tcPr>
          <w:p>
            <w:pPr>
              <w:pStyle w:val="0"/>
              <w:jc w:val="center"/>
              <w:rPr>
                <w:rFonts w:hint="default"/>
              </w:rPr>
            </w:pPr>
            <w:r>
              <w:rPr>
                <w:rFonts w:hint="eastAsia"/>
              </w:rPr>
              <w:t>目標値</w:t>
            </w:r>
          </w:p>
        </w:tc>
      </w:tr>
      <w:tr>
        <w:trPr>
          <w:trHeight w:val="520"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rPr>
            </w:pPr>
            <w:r>
              <w:rPr>
                <w:rFonts w:hint="eastAsia"/>
              </w:rPr>
              <w:t>発達障害児者の支援に携わる専門人材養成数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2018</w:t>
            </w:r>
            <w:r>
              <w:rPr>
                <w:rFonts w:hint="eastAsia"/>
                <w:color w:val="000000" w:themeColor="text1"/>
              </w:rPr>
              <w:t>～</w:t>
            </w:r>
            <w:r>
              <w:rPr>
                <w:rFonts w:hint="eastAsia"/>
                <w:color w:val="000000" w:themeColor="text1"/>
              </w:rPr>
              <w:t>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657</w:t>
            </w:r>
            <w:r>
              <w:rPr>
                <w:rFonts w:hint="eastAsia"/>
                <w:color w:val="000000" w:themeColor="text1"/>
              </w:rPr>
              <w:t>人</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2022</w:t>
            </w:r>
            <w:r>
              <w:rPr>
                <w:rFonts w:hint="eastAsia"/>
                <w:color w:val="000000" w:themeColor="text1"/>
              </w:rPr>
              <w:t>～</w:t>
            </w:r>
            <w:r>
              <w:rPr>
                <w:rFonts w:hint="eastAsia"/>
                <w:color w:val="000000" w:themeColor="text1"/>
              </w:rPr>
              <w:t>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800</w:t>
            </w:r>
            <w:r>
              <w:rPr>
                <w:rFonts w:hint="eastAsia"/>
                <w:color w:val="000000" w:themeColor="text1"/>
              </w:rPr>
              <w:t>人</w:t>
            </w:r>
          </w:p>
        </w:tc>
      </w:tr>
    </w:tbl>
    <w:p>
      <w:pPr>
        <w:pStyle w:val="0"/>
        <w:ind w:left="482" w:hanging="482" w:hangingChars="200"/>
        <w:rPr>
          <w:rFonts w:hint="default" w:ascii="HG丸ｺﾞｼｯｸM-PRO" w:hAnsi="HG丸ｺﾞｼｯｸM-PRO" w:eastAsia="HG丸ｺﾞｼｯｸM-PRO"/>
          <w:b w:val="1"/>
          <w:u w:val="single" w:color="auto"/>
        </w:rPr>
      </w:pPr>
    </w:p>
    <w:p>
      <w:pPr>
        <w:pStyle w:val="0"/>
        <w:outlineLvl w:val="2"/>
        <w:rPr>
          <w:rFonts w:hint="default"/>
          <w:color w:val="000000" w:themeColor="text1"/>
        </w:rPr>
      </w:pPr>
      <w:r>
        <w:rPr>
          <w:rFonts w:hint="eastAsia" w:ascii="ＭＳ ゴシック" w:hAnsi="ＭＳ ゴシック" w:eastAsia="ＭＳ ゴシック"/>
          <w:color w:val="000000" w:themeColor="text1"/>
        </w:rPr>
        <w:t>（２）強度行動障害</w:t>
      </w:r>
      <w:r>
        <w:rPr>
          <w:rFonts w:hint="eastAsia"/>
          <w:spacing w:val="-4"/>
          <w:kern w:val="0"/>
          <w:vertAlign w:val="superscript"/>
        </w:rPr>
        <w:t>＊</w:t>
      </w:r>
      <w:r>
        <w:rPr>
          <w:rFonts w:hint="eastAsia" w:ascii="ＭＳ ゴシック" w:hAnsi="ＭＳ ゴシック" w:eastAsia="ＭＳ ゴシック"/>
          <w:color w:val="000000" w:themeColor="text1"/>
        </w:rPr>
        <w:t>のある人に対する支援</w:t>
      </w:r>
    </w:p>
    <w:p>
      <w:pPr>
        <w:pStyle w:val="0"/>
        <w:rPr>
          <w:rFonts w:hint="default"/>
          <w:color w:val="000000" w:themeColor="text1"/>
        </w:rPr>
      </w:pPr>
      <w:r>
        <w:rPr>
          <w:rFonts w:hint="eastAsia" w:ascii="ＭＳ ゴシック" w:hAnsi="ＭＳ ゴシック" w:eastAsia="ＭＳ ゴシック"/>
          <w:color w:val="000000" w:themeColor="text1"/>
        </w:rPr>
        <w:t>【現状と課題】</w:t>
      </w:r>
    </w:p>
    <w:p>
      <w:pPr>
        <w:pStyle w:val="0"/>
        <w:numPr>
          <w:ilvl w:val="0"/>
          <w:numId w:val="124"/>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強度行動障害の状態となることを予防し、障害特性に応じた適切な支援をするため、支援に必要な専門的知識を有する人材を確保する必要があります。</w:t>
      </w:r>
    </w:p>
    <w:p>
      <w:pPr>
        <w:pStyle w:val="0"/>
        <w:autoSpaceDE w:val="0"/>
        <w:autoSpaceDN w:val="0"/>
        <w:adjustRightInd w:val="0"/>
        <w:spacing w:line="360" w:lineRule="exact"/>
        <w:ind w:left="573"/>
        <w:jc w:val="left"/>
        <w:rPr>
          <w:rFonts w:hint="default"/>
          <w:color w:val="000000" w:themeColor="text1"/>
        </w:rPr>
      </w:pPr>
    </w:p>
    <w:p>
      <w:pPr>
        <w:pStyle w:val="0"/>
        <w:numPr>
          <w:ilvl w:val="0"/>
          <w:numId w:val="124"/>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強度行動障害があることで福祉施設（事業所）での受入れが消極的となったり、身体拘束や行動制限などの虐待につながる可能性も懸念されます。</w:t>
      </w:r>
    </w:p>
    <w:p>
      <w:pPr>
        <w:pStyle w:val="0"/>
        <w:autoSpaceDE w:val="0"/>
        <w:autoSpaceDN w:val="0"/>
        <w:adjustRightInd w:val="0"/>
        <w:spacing w:line="360" w:lineRule="exact"/>
        <w:jc w:val="left"/>
        <w:rPr>
          <w:rFonts w:hint="default"/>
          <w:color w:val="000000" w:themeColor="text1"/>
        </w:rPr>
      </w:pPr>
    </w:p>
    <w:p>
      <w:pPr>
        <w:pStyle w:val="0"/>
        <w:numPr>
          <w:ilvl w:val="0"/>
          <w:numId w:val="124"/>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強度行動障害のある人に対してライフステージを通じた支援体制の確立や身近な地域における支援体制の確立が必要です。</w:t>
      </w:r>
    </w:p>
    <w:p>
      <w:pPr>
        <w:pStyle w:val="0"/>
        <w:rPr>
          <w:rFonts w:hint="default"/>
          <w:color w:val="000000" w:themeColor="text1"/>
        </w:rPr>
      </w:pPr>
    </w:p>
    <w:p>
      <w:pPr>
        <w:pStyle w:val="0"/>
        <w:rPr>
          <w:rFonts w:hint="default"/>
          <w:color w:val="000000" w:themeColor="text1"/>
        </w:rPr>
      </w:pPr>
      <w:r>
        <w:rPr>
          <w:rFonts w:hint="eastAsia" w:ascii="ＭＳ ゴシック" w:hAnsi="ＭＳ ゴシック" w:eastAsia="ＭＳ ゴシック"/>
          <w:color w:val="000000" w:themeColor="text1"/>
        </w:rPr>
        <w:t>【県の取組】</w:t>
      </w:r>
    </w:p>
    <w:p>
      <w:pPr>
        <w:pStyle w:val="0"/>
        <w:numPr>
          <w:ilvl w:val="0"/>
          <w:numId w:val="128"/>
        </w:numPr>
        <w:autoSpaceDE w:val="0"/>
        <w:autoSpaceDN w:val="0"/>
        <w:adjustRightInd w:val="0"/>
        <w:spacing w:line="360" w:lineRule="exact"/>
        <w:ind w:left="579" w:hanging="363"/>
        <w:jc w:val="left"/>
        <w:rPr>
          <w:rFonts w:hint="default"/>
          <w:color w:val="000000" w:themeColor="text1"/>
          <w:spacing w:val="-4"/>
          <w:kern w:val="0"/>
        </w:rPr>
      </w:pPr>
      <w:r>
        <w:rPr>
          <w:rFonts w:hint="eastAsia"/>
          <w:color w:val="000000" w:themeColor="text1"/>
          <w:spacing w:val="-4"/>
          <w:kern w:val="0"/>
        </w:rPr>
        <w:t>強度行動障害のある方に対して高度な専門知識や技術に基づく個別支援を行うため、支援者養成研修による人材の養成に努めます。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ind w:left="579"/>
        <w:jc w:val="left"/>
        <w:rPr>
          <w:rFonts w:hint="default"/>
          <w:color w:val="000000" w:themeColor="text1"/>
          <w:spacing w:val="-4"/>
          <w:kern w:val="0"/>
        </w:rPr>
      </w:pPr>
    </w:p>
    <w:p>
      <w:pPr>
        <w:pStyle w:val="0"/>
        <w:numPr>
          <w:ilvl w:val="0"/>
          <w:numId w:val="128"/>
        </w:numPr>
        <w:autoSpaceDE w:val="0"/>
        <w:autoSpaceDN w:val="0"/>
        <w:adjustRightInd w:val="0"/>
        <w:spacing w:line="360" w:lineRule="exact"/>
        <w:ind w:left="579" w:hanging="363"/>
        <w:jc w:val="left"/>
        <w:rPr>
          <w:rFonts w:hint="default"/>
          <w:color w:val="000000" w:themeColor="text1"/>
          <w:spacing w:val="-4"/>
          <w:kern w:val="0"/>
        </w:rPr>
      </w:pPr>
      <w:r>
        <w:rPr>
          <w:rFonts w:hint="eastAsia"/>
          <w:color w:val="000000" w:themeColor="text1"/>
          <w:spacing w:val="-4"/>
          <w:kern w:val="0"/>
        </w:rPr>
        <w:t>県立磐田学園では、居室の個室化、小規模ユニットケアを導入し、家庭的な雰囲気の中で障害特性に応じた個別の療育を行うことで、家庭や地域での生活の移行に向けた支援を行います。また、保護者のレスパイトを目的とした短期入所</w:t>
      </w:r>
      <w:r>
        <w:rPr>
          <w:rFonts w:hint="eastAsia"/>
          <w:spacing w:val="-4"/>
          <w:kern w:val="0"/>
          <w:vertAlign w:val="superscript"/>
        </w:rPr>
        <w:t>＊</w:t>
      </w:r>
      <w:r>
        <w:rPr>
          <w:rFonts w:hint="eastAsia"/>
          <w:color w:val="000000" w:themeColor="text1"/>
          <w:spacing w:val="-4"/>
          <w:kern w:val="0"/>
        </w:rPr>
        <w:t>の受入れも実施します。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autoSpaceDE w:val="0"/>
        <w:autoSpaceDN w:val="0"/>
        <w:adjustRightInd w:val="0"/>
        <w:spacing w:line="360" w:lineRule="exact"/>
        <w:jc w:val="left"/>
        <w:rPr>
          <w:rFonts w:hint="default"/>
          <w:color w:val="000000" w:themeColor="text1"/>
          <w:spacing w:val="-4"/>
          <w:kern w:val="0"/>
        </w:rPr>
      </w:pPr>
    </w:p>
    <w:p>
      <w:pPr>
        <w:pStyle w:val="0"/>
        <w:numPr>
          <w:ilvl w:val="0"/>
          <w:numId w:val="128"/>
        </w:numPr>
        <w:autoSpaceDE w:val="0"/>
        <w:autoSpaceDN w:val="0"/>
        <w:adjustRightInd w:val="0"/>
        <w:spacing w:line="360" w:lineRule="exact"/>
        <w:ind w:left="579" w:hanging="363"/>
        <w:jc w:val="left"/>
        <w:rPr>
          <w:rFonts w:hint="default"/>
          <w:color w:val="000000" w:themeColor="text1"/>
          <w:spacing w:val="-4"/>
          <w:kern w:val="0"/>
        </w:rPr>
      </w:pPr>
      <w:r>
        <w:rPr>
          <w:rFonts w:hint="eastAsia"/>
          <w:color w:val="000000" w:themeColor="text1"/>
          <w:spacing w:val="-4"/>
          <w:kern w:val="0"/>
        </w:rPr>
        <w:t>県立磐田学園において研修を通じた民間施設への技術的支援や実習受入による次代を担う人材の育成に取り組み、県全体の養育支援力の充実を図ります。</w:t>
      </w:r>
      <w:r>
        <w:rPr>
          <w:rFonts w:hint="eastAsia"/>
          <w:color w:val="000000" w:themeColor="text1"/>
          <w:spacing w:val="-4"/>
          <w:kern w:val="0"/>
          <w:sz w:val="16"/>
        </w:rPr>
        <w:t>[</w:t>
      </w:r>
      <w:r>
        <w:rPr>
          <w:rFonts w:hint="eastAsia"/>
          <w:color w:val="000000" w:themeColor="text1"/>
          <w:spacing w:val="-4"/>
          <w:kern w:val="0"/>
          <w:sz w:val="16"/>
        </w:rPr>
        <w:t>健康福祉部障害者支援局</w:t>
      </w:r>
      <w:r>
        <w:rPr>
          <w:rFonts w:hint="eastAsia"/>
          <w:color w:val="000000" w:themeColor="text1"/>
          <w:spacing w:val="-4"/>
          <w:kern w:val="0"/>
          <w:sz w:val="16"/>
        </w:rPr>
        <w:t>]</w:t>
      </w:r>
    </w:p>
    <w:p>
      <w:pPr>
        <w:pStyle w:val="0"/>
        <w:ind w:left="480" w:hanging="480" w:hangingChars="200"/>
        <w:rPr>
          <w:rFonts w:hint="default" w:ascii="ＭＳ ゴシック" w:hAnsi="ＭＳ ゴシック" w:eastAsia="ＭＳ ゴシック"/>
          <w:u w:val="single" w:color="auto"/>
        </w:rPr>
      </w:pPr>
      <w:r>
        <w:rPr>
          <w:rFonts w:hint="eastAsia"/>
          <w:color w:val="000000" w:themeColor="text1"/>
        </w:rPr>
        <w:br w:type="page"/>
      </w:r>
      <w:bookmarkStart w:id="140" w:name="_Toc503474102"/>
      <w:bookmarkEnd w:id="140"/>
      <w:r>
        <w:rPr>
          <w:rFonts w:hint="eastAsia" w:ascii="ＭＳ ゴシック" w:hAnsi="ＭＳ ゴシック" w:eastAsia="ＭＳ ゴシック"/>
          <w:sz w:val="26"/>
          <w:u w:val="single" w:color="auto"/>
        </w:rPr>
        <w:t>５　精神障害のある人に対する支援の充実</w:t>
      </w:r>
    </w:p>
    <w:p>
      <w:pPr>
        <w:pStyle w:val="0"/>
        <w:outlineLvl w:val="2"/>
        <w:rPr>
          <w:rFonts w:hint="default"/>
        </w:rPr>
      </w:pPr>
      <w:bookmarkStart w:id="141" w:name="_Toc503474103"/>
      <w:bookmarkEnd w:id="141"/>
      <w:r>
        <w:rPr>
          <w:rFonts w:hint="eastAsia" w:ascii="ＭＳ ゴシック" w:hAnsi="ＭＳ ゴシック" w:eastAsia="ＭＳ ゴシック"/>
        </w:rPr>
        <w:t>（１）精神障害のある人に対する支援</w:t>
      </w:r>
    </w:p>
    <w:p>
      <w:pPr>
        <w:pStyle w:val="0"/>
        <w:rPr>
          <w:rFonts w:hint="default"/>
        </w:rPr>
      </w:pPr>
      <w:r>
        <w:rPr>
          <w:rFonts w:hint="eastAsia" w:ascii="ＭＳ ゴシック" w:hAnsi="ＭＳ ゴシック" w:eastAsia="ＭＳ ゴシック"/>
        </w:rPr>
        <w:t>【現状と課題】</w:t>
      </w:r>
    </w:p>
    <w:p>
      <w:pPr>
        <w:pStyle w:val="0"/>
        <w:numPr>
          <w:ilvl w:val="0"/>
          <w:numId w:val="29"/>
        </w:numPr>
        <w:autoSpaceDE w:val="0"/>
        <w:autoSpaceDN w:val="0"/>
        <w:adjustRightInd w:val="0"/>
        <w:spacing w:line="360" w:lineRule="exact"/>
        <w:ind w:left="573" w:hanging="357"/>
        <w:jc w:val="left"/>
        <w:rPr>
          <w:rFonts w:hint="default"/>
        </w:rPr>
      </w:pPr>
      <w:r>
        <w:rPr>
          <w:rFonts w:hint="eastAsia"/>
        </w:rPr>
        <w:t>精神疾患は、症状が多様であるとともに自覚しにくいという特徴があるため、症状が比較的軽いうちには精神科医療機関を受診せず、症状が重くなり入院治療が必要になって初めて精神科医療機関を受診するという場合が少なくありません。また、重症化してから入院すると、治療が困難になるなど、長期の入院が必要となってしまう場合もあります。</w:t>
      </w:r>
    </w:p>
    <w:p>
      <w:pPr>
        <w:pStyle w:val="0"/>
        <w:autoSpaceDE w:val="0"/>
        <w:autoSpaceDN w:val="0"/>
        <w:adjustRightInd w:val="0"/>
        <w:spacing w:line="360" w:lineRule="exact"/>
        <w:ind w:left="573"/>
        <w:jc w:val="left"/>
        <w:rPr>
          <w:rFonts w:hint="default"/>
        </w:rPr>
      </w:pPr>
    </w:p>
    <w:p>
      <w:pPr>
        <w:pStyle w:val="0"/>
        <w:numPr>
          <w:ilvl w:val="0"/>
          <w:numId w:val="29"/>
        </w:numPr>
        <w:autoSpaceDE w:val="0"/>
        <w:autoSpaceDN w:val="0"/>
        <w:adjustRightInd w:val="0"/>
        <w:spacing w:line="360" w:lineRule="exact"/>
        <w:ind w:left="573" w:hanging="357"/>
        <w:jc w:val="left"/>
        <w:rPr>
          <w:rFonts w:hint="default"/>
        </w:rPr>
      </w:pPr>
      <w:r>
        <w:rPr>
          <w:rFonts w:hint="eastAsia"/>
        </w:rPr>
        <w:t>このため、精神疾患に罹患した場合、早期に適切な医療を受けられるよう、統合失調症、うつ病・躁うつ病（双極性感情障害）、依存症、ＰＴＳＤ、高次脳機能障害</w:t>
      </w:r>
      <w:r>
        <w:rPr>
          <w:rFonts w:hint="eastAsia"/>
          <w:vertAlign w:val="superscript"/>
        </w:rPr>
        <w:t>＊</w:t>
      </w:r>
      <w:r>
        <w:rPr>
          <w:rFonts w:hint="eastAsia"/>
        </w:rPr>
        <w:t>、摂食障害、てんかんなど多様な精神疾患ごとに対応できる医療機関を明確にし、早期に必要な精神科医療が提供される医療体制の確保が必要です。</w:t>
      </w:r>
    </w:p>
    <w:p>
      <w:pPr>
        <w:pStyle w:val="0"/>
        <w:autoSpaceDE w:val="0"/>
        <w:autoSpaceDN w:val="0"/>
        <w:adjustRightInd w:val="0"/>
        <w:spacing w:line="360" w:lineRule="exact"/>
        <w:jc w:val="left"/>
        <w:rPr>
          <w:rFonts w:hint="default"/>
        </w:rPr>
      </w:pPr>
    </w:p>
    <w:p>
      <w:pPr>
        <w:pStyle w:val="0"/>
        <w:numPr>
          <w:ilvl w:val="0"/>
          <w:numId w:val="29"/>
        </w:numPr>
        <w:autoSpaceDE w:val="0"/>
        <w:autoSpaceDN w:val="0"/>
        <w:adjustRightInd w:val="0"/>
        <w:spacing w:line="360" w:lineRule="exact"/>
        <w:ind w:left="573" w:hanging="357"/>
        <w:jc w:val="left"/>
        <w:rPr>
          <w:rFonts w:hint="default"/>
        </w:rPr>
      </w:pPr>
      <w:r>
        <w:rPr>
          <w:rFonts w:hint="eastAsia"/>
        </w:rPr>
        <w:t>精神疾患は全ての人にとって身近な病気であり、精神障害の有無や程度にかかわらず、誰もが安心して自分らしく暮らすことができる地域づくりのために、医療、保健、福祉の連携を進める必要があります。また、精神障害のある人が地域の一員として安心して生活できるよう精神疾患に対する理解の促進を図る必要があります。</w:t>
      </w:r>
    </w:p>
    <w:p>
      <w:pPr>
        <w:pStyle w:val="0"/>
        <w:autoSpaceDE w:val="0"/>
        <w:autoSpaceDN w:val="0"/>
        <w:adjustRightInd w:val="0"/>
        <w:spacing w:line="360" w:lineRule="exact"/>
        <w:jc w:val="left"/>
        <w:rPr>
          <w:rFonts w:hint="default"/>
        </w:rPr>
      </w:pPr>
    </w:p>
    <w:p>
      <w:pPr>
        <w:pStyle w:val="0"/>
        <w:numPr>
          <w:ilvl w:val="0"/>
          <w:numId w:val="29"/>
        </w:numPr>
        <w:autoSpaceDE w:val="0"/>
        <w:autoSpaceDN w:val="0"/>
        <w:adjustRightInd w:val="0"/>
        <w:spacing w:line="360" w:lineRule="exact"/>
        <w:ind w:left="573" w:hanging="357"/>
        <w:jc w:val="left"/>
        <w:rPr>
          <w:rFonts w:hint="default"/>
        </w:rPr>
      </w:pPr>
      <w:r>
        <w:rPr>
          <w:rFonts w:hint="eastAsia"/>
        </w:rPr>
        <w:t>長期入院している精神障害のある人の地域移行を進めるに当たっては、地域の一員として安心して自分らしい暮らしができるよう、精神障害にも対応した地域包括ケアシステムの構築を進める必要があります。</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【県の取組】</w:t>
      </w:r>
    </w:p>
    <w:p>
      <w:pPr>
        <w:pStyle w:val="0"/>
        <w:numPr>
          <w:ilvl w:val="0"/>
          <w:numId w:val="129"/>
        </w:numPr>
        <w:autoSpaceDE w:val="0"/>
        <w:autoSpaceDN w:val="0"/>
        <w:adjustRightInd w:val="0"/>
        <w:spacing w:line="360" w:lineRule="exact"/>
        <w:ind w:left="579" w:hanging="363"/>
        <w:jc w:val="left"/>
        <w:rPr>
          <w:rFonts w:hint="default"/>
          <w:spacing w:val="-4"/>
          <w:kern w:val="0"/>
          <w:sz w:val="22"/>
        </w:rPr>
      </w:pPr>
      <w:r>
        <w:rPr>
          <w:rFonts w:hint="eastAsia"/>
          <w:spacing w:val="-4"/>
          <w:kern w:val="0"/>
        </w:rPr>
        <w:t>精神科病院における患者の療養環境の向上を図るとともに、入院患者の人権に配慮した適切な医療を確保するため、入院の必要性や入院患者の処遇に重点をおいた指導・審査を実施します。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79"/>
        <w:jc w:val="left"/>
        <w:rPr>
          <w:rFonts w:hint="default"/>
          <w:spacing w:val="-4"/>
          <w:kern w:val="0"/>
          <w:sz w:val="22"/>
        </w:rPr>
      </w:pPr>
    </w:p>
    <w:p>
      <w:pPr>
        <w:pStyle w:val="0"/>
        <w:numPr>
          <w:ilvl w:val="0"/>
          <w:numId w:val="129"/>
        </w:numPr>
        <w:autoSpaceDE w:val="0"/>
        <w:autoSpaceDN w:val="0"/>
        <w:adjustRightInd w:val="0"/>
        <w:spacing w:line="360" w:lineRule="exact"/>
        <w:ind w:left="579" w:hanging="363"/>
        <w:jc w:val="left"/>
        <w:rPr>
          <w:rFonts w:hint="default"/>
          <w:spacing w:val="-4"/>
          <w:kern w:val="0"/>
          <w:sz w:val="22"/>
        </w:rPr>
      </w:pPr>
      <w:r>
        <w:rPr>
          <w:rFonts w:hint="eastAsia"/>
          <w:spacing w:val="-4"/>
          <w:kern w:val="0"/>
        </w:rPr>
        <w:t>精神障害のある人が安心して精神科医療を受けられるように、患者・家族の選択に必要な精神科</w:t>
      </w:r>
      <w:r>
        <w:rPr>
          <w:rFonts w:hint="eastAsia"/>
          <w:color w:val="000000" w:themeColor="text1"/>
          <w:spacing w:val="-4"/>
          <w:kern w:val="0"/>
        </w:rPr>
        <w:t>医療機関</w:t>
      </w:r>
      <w:r>
        <w:rPr>
          <w:rFonts w:hint="eastAsia"/>
          <w:spacing w:val="-4"/>
          <w:kern w:val="0"/>
        </w:rPr>
        <w:t>に関する情報提供を促進します。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spacing w:val="-4"/>
          <w:kern w:val="0"/>
          <w:sz w:val="22"/>
        </w:rPr>
      </w:pPr>
    </w:p>
    <w:p>
      <w:pPr>
        <w:pStyle w:val="0"/>
        <w:numPr>
          <w:ilvl w:val="0"/>
          <w:numId w:val="129"/>
        </w:numPr>
        <w:autoSpaceDE w:val="0"/>
        <w:autoSpaceDN w:val="0"/>
        <w:adjustRightInd w:val="0"/>
        <w:spacing w:line="360" w:lineRule="exact"/>
        <w:ind w:left="579" w:hanging="363"/>
        <w:jc w:val="left"/>
        <w:rPr>
          <w:rFonts w:hint="default"/>
          <w:spacing w:val="-4"/>
          <w:kern w:val="0"/>
          <w:sz w:val="22"/>
        </w:rPr>
      </w:pPr>
      <w:r>
        <w:rPr>
          <w:rFonts w:hint="eastAsia"/>
          <w:spacing w:val="-4"/>
          <w:kern w:val="0"/>
        </w:rPr>
        <w:t>精神疾患に身体合併治療を伴う入院患者に対して、適正な治療を提供するため、精神科と一般診療科との連携を推進します。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spacing w:val="-4"/>
          <w:kern w:val="0"/>
          <w:sz w:val="22"/>
        </w:rPr>
      </w:pPr>
    </w:p>
    <w:p>
      <w:pPr>
        <w:pStyle w:val="0"/>
        <w:numPr>
          <w:ilvl w:val="0"/>
          <w:numId w:val="129"/>
        </w:numPr>
        <w:autoSpaceDE w:val="0"/>
        <w:autoSpaceDN w:val="0"/>
        <w:adjustRightInd w:val="0"/>
        <w:spacing w:line="360" w:lineRule="exact"/>
        <w:ind w:left="579" w:hanging="363"/>
        <w:jc w:val="left"/>
        <w:rPr>
          <w:rFonts w:hint="default"/>
          <w:spacing w:val="-4"/>
          <w:kern w:val="0"/>
          <w:sz w:val="22"/>
        </w:rPr>
      </w:pPr>
      <w:r>
        <w:rPr>
          <w:rFonts w:hint="eastAsia"/>
          <w:spacing w:val="-4"/>
          <w:kern w:val="0"/>
        </w:rPr>
        <w:t>休日や夜間において緊急に医療を必要とする精神障害のある人に対して、</w:t>
      </w:r>
      <w:r>
        <w:rPr>
          <w:rFonts w:hint="eastAsia"/>
          <w:spacing w:val="-4"/>
          <w:kern w:val="0"/>
        </w:rPr>
        <w:t>24</w:t>
      </w:r>
      <w:r>
        <w:rPr>
          <w:rFonts w:hint="eastAsia"/>
          <w:spacing w:val="-4"/>
          <w:kern w:val="0"/>
        </w:rPr>
        <w:t>時間</w:t>
      </w:r>
      <w:r>
        <w:rPr>
          <w:rFonts w:hint="eastAsia"/>
          <w:spacing w:val="-4"/>
          <w:kern w:val="0"/>
        </w:rPr>
        <w:t>365</w:t>
      </w:r>
      <w:r>
        <w:rPr>
          <w:rFonts w:hint="eastAsia"/>
          <w:spacing w:val="-4"/>
          <w:kern w:val="0"/>
        </w:rPr>
        <w:t>日の措置・診察・入院等に対応するため、いつでも相談できる精神科救急情報センターの機能を強化するなど、精神科救急医療体制</w:t>
      </w:r>
      <w:r>
        <w:rPr>
          <w:rFonts w:hint="eastAsia"/>
          <w:spacing w:val="-4"/>
          <w:kern w:val="0"/>
          <w:vertAlign w:val="superscript"/>
        </w:rPr>
        <w:t>＊</w:t>
      </w:r>
      <w:r>
        <w:rPr>
          <w:rFonts w:hint="eastAsia"/>
          <w:spacing w:val="-4"/>
          <w:kern w:val="0"/>
        </w:rPr>
        <w:t>の充実を図ります。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spacing w:val="-4"/>
          <w:kern w:val="0"/>
          <w:sz w:val="22"/>
        </w:rPr>
      </w:pPr>
    </w:p>
    <w:p>
      <w:pPr>
        <w:pStyle w:val="0"/>
        <w:numPr>
          <w:ilvl w:val="0"/>
          <w:numId w:val="129"/>
        </w:numPr>
        <w:autoSpaceDE w:val="0"/>
        <w:autoSpaceDN w:val="0"/>
        <w:adjustRightInd w:val="0"/>
        <w:spacing w:line="360" w:lineRule="exact"/>
        <w:ind w:left="579" w:hanging="363"/>
        <w:jc w:val="left"/>
        <w:rPr>
          <w:rFonts w:hint="default"/>
          <w:spacing w:val="-4"/>
          <w:kern w:val="0"/>
          <w:sz w:val="22"/>
        </w:rPr>
      </w:pPr>
      <w:r>
        <w:rPr>
          <w:rFonts w:hint="eastAsia"/>
          <w:spacing w:val="-4"/>
          <w:kern w:val="0"/>
        </w:rPr>
        <w:t>精神障害のある人が地域で安心して生活し続けることができるよう、地域における居住環境及び生活環境の一層の整備や精神障害のある人の主体性に応じた社会参加を促進するための支援を行います。また、地域で生活しながら医療を受けることができるよう、精神障害のある人の精神疾患の状態やその家族の状況に応じていつでも必要な保健医療サービスや福祉サービスを提供できる体制を確保し、精神障害にも対応した地域包括ケアシステムを推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spacing w:val="-4"/>
          <w:kern w:val="0"/>
          <w:sz w:val="22"/>
        </w:rPr>
      </w:pPr>
    </w:p>
    <w:p>
      <w:pPr>
        <w:pStyle w:val="0"/>
        <w:numPr>
          <w:ilvl w:val="0"/>
          <w:numId w:val="129"/>
        </w:numPr>
        <w:autoSpaceDE w:val="0"/>
        <w:autoSpaceDN w:val="0"/>
        <w:adjustRightInd w:val="0"/>
        <w:spacing w:line="360" w:lineRule="exact"/>
        <w:ind w:left="579" w:hanging="363"/>
        <w:jc w:val="left"/>
        <w:rPr>
          <w:rFonts w:hint="default"/>
          <w:spacing w:val="-4"/>
          <w:kern w:val="0"/>
          <w:sz w:val="22"/>
        </w:rPr>
      </w:pPr>
      <w:r>
        <w:rPr>
          <w:rFonts w:hint="eastAsia"/>
          <w:spacing w:val="-4"/>
          <w:kern w:val="0"/>
        </w:rPr>
        <w:t>県下全域の拠点病院を明確にし、多様化している精神疾患ごとに情報発信や人材育成を行うとともに、２次保健医療圏において地域連携拠点機能を担う医療機関の支援を行うことにより、地域医療連携体制を構築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spacing w:val="-4"/>
          <w:kern w:val="0"/>
          <w:sz w:val="22"/>
        </w:rPr>
      </w:pPr>
    </w:p>
    <w:p>
      <w:pPr>
        <w:pStyle w:val="0"/>
        <w:numPr>
          <w:ilvl w:val="0"/>
          <w:numId w:val="130"/>
        </w:numPr>
        <w:autoSpaceDE w:val="0"/>
        <w:autoSpaceDN w:val="0"/>
        <w:adjustRightInd w:val="0"/>
        <w:spacing w:line="360" w:lineRule="exact"/>
        <w:ind w:left="595" w:hanging="357"/>
        <w:jc w:val="left"/>
        <w:rPr>
          <w:rFonts w:hint="default"/>
          <w:spacing w:val="-4"/>
          <w:kern w:val="0"/>
          <w:sz w:val="22"/>
        </w:rPr>
      </w:pPr>
      <w:r>
        <w:rPr>
          <w:rFonts w:hint="eastAsia" w:ascii="ＭＳ ゴシック" w:hAnsi="ＭＳ ゴシック" w:eastAsia="ＭＳ ゴシック"/>
          <w:spacing w:val="-4"/>
          <w:kern w:val="0"/>
        </w:rPr>
        <w:t>統合失調症</w:t>
      </w:r>
      <w:r>
        <w:rPr>
          <w:rFonts w:hint="eastAsia" w:ascii="ＭＳ ゴシック" w:hAnsi="ＭＳ ゴシック" w:eastAsia="ＭＳ ゴシック"/>
          <w:spacing w:val="-4"/>
          <w:kern w:val="0"/>
        </w:rPr>
        <w:br w:type="textWrapping" w:clear="none"/>
      </w:r>
      <w:r>
        <w:rPr>
          <w:rFonts w:hint="eastAsia"/>
          <w:spacing w:val="-4"/>
          <w:kern w:val="0"/>
        </w:rPr>
        <w:t>国が目指す専門的治療方法の県下全域での普及に努めます。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ind w:left="595"/>
        <w:jc w:val="left"/>
        <w:rPr>
          <w:rFonts w:hint="default"/>
          <w:spacing w:val="-4"/>
          <w:kern w:val="0"/>
          <w:sz w:val="22"/>
        </w:rPr>
      </w:pPr>
    </w:p>
    <w:p>
      <w:pPr>
        <w:pStyle w:val="0"/>
        <w:numPr>
          <w:ilvl w:val="0"/>
          <w:numId w:val="130"/>
        </w:numPr>
        <w:autoSpaceDE w:val="0"/>
        <w:autoSpaceDN w:val="0"/>
        <w:adjustRightInd w:val="0"/>
        <w:spacing w:line="360" w:lineRule="exact"/>
        <w:ind w:left="595" w:hanging="357"/>
        <w:jc w:val="left"/>
        <w:rPr>
          <w:rFonts w:hint="default"/>
          <w:spacing w:val="-4"/>
          <w:kern w:val="0"/>
          <w:sz w:val="22"/>
        </w:rPr>
      </w:pPr>
      <w:r>
        <w:rPr>
          <w:rFonts w:hint="eastAsia" w:ascii="ＭＳ ゴシック" w:hAnsi="ＭＳ ゴシック" w:eastAsia="ＭＳ ゴシック"/>
          <w:spacing w:val="-4"/>
          <w:kern w:val="0"/>
        </w:rPr>
        <w:t>うつ病・躁うつ病（双極性感情障害）</w:t>
      </w:r>
      <w:r>
        <w:rPr>
          <w:rFonts w:hint="eastAsia" w:ascii="ＭＳ ゴシック" w:hAnsi="ＭＳ ゴシック" w:eastAsia="ＭＳ ゴシック"/>
          <w:spacing w:val="-4"/>
          <w:kern w:val="0"/>
        </w:rPr>
        <w:br w:type="textWrapping" w:clear="none"/>
      </w:r>
      <w:r>
        <w:rPr>
          <w:rFonts w:hint="eastAsia"/>
          <w:spacing w:val="-4"/>
          <w:kern w:val="0"/>
        </w:rPr>
        <w:t>早期発見・早期治療を目的に、精神科とかかりつけ医との連携を強化します。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spacing w:val="-4"/>
          <w:kern w:val="0"/>
          <w:sz w:val="22"/>
        </w:rPr>
      </w:pPr>
    </w:p>
    <w:p>
      <w:pPr>
        <w:pStyle w:val="0"/>
        <w:numPr>
          <w:ilvl w:val="0"/>
          <w:numId w:val="130"/>
        </w:numPr>
        <w:autoSpaceDE w:val="0"/>
        <w:autoSpaceDN w:val="0"/>
        <w:adjustRightInd w:val="0"/>
        <w:spacing w:line="360" w:lineRule="exact"/>
        <w:ind w:left="595" w:hanging="357"/>
        <w:jc w:val="left"/>
        <w:rPr>
          <w:rFonts w:hint="default"/>
          <w:spacing w:val="-4"/>
          <w:kern w:val="0"/>
          <w:sz w:val="22"/>
        </w:rPr>
      </w:pPr>
      <w:r>
        <w:rPr>
          <w:rFonts w:hint="eastAsia" w:ascii="ＭＳ ゴシック" w:hAnsi="ＭＳ ゴシック" w:eastAsia="ＭＳ ゴシック"/>
          <w:spacing w:val="-4"/>
          <w:kern w:val="0"/>
        </w:rPr>
        <w:t>依存症</w:t>
      </w:r>
      <w:r>
        <w:rPr>
          <w:rFonts w:hint="eastAsia" w:ascii="ＭＳ ゴシック" w:hAnsi="ＭＳ ゴシック" w:eastAsia="ＭＳ ゴシック"/>
          <w:spacing w:val="-4"/>
          <w:kern w:val="0"/>
        </w:rPr>
        <w:br w:type="textWrapping" w:clear="none"/>
      </w:r>
      <w:r>
        <w:rPr>
          <w:rFonts w:hint="eastAsia"/>
          <w:spacing w:val="-4"/>
          <w:kern w:val="0"/>
        </w:rPr>
        <w:t>アルコール、薬物、</w:t>
      </w:r>
      <w:r>
        <w:rPr>
          <w:rFonts w:hint="eastAsia"/>
          <w:color w:val="000000" w:themeColor="text1"/>
          <w:spacing w:val="-4"/>
          <w:kern w:val="0"/>
        </w:rPr>
        <w:t>ギャンブル</w:t>
      </w:r>
      <w:r>
        <w:rPr>
          <w:rFonts w:hint="eastAsia"/>
          <w:spacing w:val="-4"/>
          <w:kern w:val="0"/>
        </w:rPr>
        <w:t>等の様々な依存症患者については、自助グループにおける取組の促進や家族への支援等を行います。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spacing w:val="-4"/>
          <w:kern w:val="0"/>
          <w:sz w:val="22"/>
        </w:rPr>
      </w:pPr>
    </w:p>
    <w:p>
      <w:pPr>
        <w:pStyle w:val="0"/>
        <w:numPr>
          <w:ilvl w:val="0"/>
          <w:numId w:val="130"/>
        </w:numPr>
        <w:autoSpaceDE w:val="0"/>
        <w:autoSpaceDN w:val="0"/>
        <w:adjustRightInd w:val="0"/>
        <w:spacing w:line="360" w:lineRule="exact"/>
        <w:ind w:left="595" w:hanging="357"/>
        <w:jc w:val="left"/>
        <w:rPr>
          <w:rFonts w:hint="default"/>
          <w:spacing w:val="-4"/>
          <w:kern w:val="0"/>
          <w:sz w:val="22"/>
        </w:rPr>
      </w:pPr>
      <w:r>
        <w:rPr>
          <w:rFonts w:hint="eastAsia" w:ascii="ＭＳ ゴシック" w:hAnsi="ＭＳ ゴシック" w:eastAsia="ＭＳ ゴシック"/>
          <w:spacing w:val="-4"/>
          <w:kern w:val="0"/>
        </w:rPr>
        <w:t>心的外傷後ストレス障害（</w:t>
      </w:r>
      <w:r>
        <w:rPr>
          <w:rFonts w:hint="eastAsia" w:ascii="ＭＳ ゴシック" w:hAnsi="ＭＳ ゴシック" w:eastAsia="ＭＳ ゴシック"/>
          <w:spacing w:val="-4"/>
          <w:kern w:val="0"/>
        </w:rPr>
        <w:t>PTSD</w:t>
      </w:r>
      <w:r>
        <w:rPr>
          <w:rFonts w:hint="eastAsia" w:ascii="ＭＳ ゴシック" w:hAnsi="ＭＳ ゴシック" w:eastAsia="ＭＳ ゴシック"/>
          <w:spacing w:val="-4"/>
          <w:kern w:val="0"/>
        </w:rPr>
        <w:t>）</w:t>
      </w:r>
      <w:r>
        <w:rPr>
          <w:rFonts w:hint="eastAsia" w:ascii="ＭＳ ゴシック" w:hAnsi="ＭＳ ゴシック" w:eastAsia="ＭＳ ゴシック"/>
          <w:spacing w:val="-4"/>
          <w:kern w:val="0"/>
          <w:vertAlign w:val="superscript"/>
        </w:rPr>
        <w:t>＊</w:t>
      </w:r>
      <w:r>
        <w:rPr>
          <w:rFonts w:hint="eastAsia" w:ascii="ＭＳ ゴシック" w:hAnsi="ＭＳ ゴシック" w:eastAsia="ＭＳ ゴシック"/>
          <w:spacing w:val="-4"/>
          <w:kern w:val="0"/>
        </w:rPr>
        <w:br w:type="textWrapping" w:clear="none"/>
      </w:r>
      <w:r>
        <w:rPr>
          <w:rFonts w:hint="eastAsia"/>
          <w:spacing w:val="-4"/>
          <w:kern w:val="0"/>
        </w:rPr>
        <w:t>災害及び事件、事故等が発生した場合に、早期に被災者・被害者のこころのケアに対応できる体制を整えます。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spacing w:val="-4"/>
          <w:kern w:val="0"/>
          <w:sz w:val="22"/>
        </w:rPr>
      </w:pPr>
    </w:p>
    <w:p>
      <w:pPr>
        <w:pStyle w:val="0"/>
        <w:numPr>
          <w:ilvl w:val="0"/>
          <w:numId w:val="130"/>
        </w:numPr>
        <w:autoSpaceDE w:val="0"/>
        <w:autoSpaceDN w:val="0"/>
        <w:adjustRightInd w:val="0"/>
        <w:spacing w:line="360" w:lineRule="exact"/>
        <w:ind w:left="595" w:hanging="357"/>
        <w:jc w:val="left"/>
        <w:rPr>
          <w:rFonts w:hint="default"/>
          <w:spacing w:val="-4"/>
          <w:kern w:val="0"/>
          <w:sz w:val="22"/>
        </w:rPr>
      </w:pPr>
      <w:r>
        <w:rPr>
          <w:rFonts w:hint="eastAsia" w:ascii="ＭＳ ゴシック" w:hAnsi="ＭＳ ゴシック" w:eastAsia="ＭＳ ゴシック"/>
          <w:spacing w:val="-4"/>
          <w:kern w:val="0"/>
        </w:rPr>
        <w:t>高次脳機能障害</w:t>
      </w:r>
      <w:r>
        <w:rPr>
          <w:rFonts w:hint="eastAsia" w:ascii="ＭＳ ゴシック" w:hAnsi="ＭＳ ゴシック" w:eastAsia="ＭＳ ゴシック"/>
          <w:vertAlign w:val="superscript"/>
        </w:rPr>
        <w:t>＊</w:t>
      </w:r>
      <w:r>
        <w:rPr>
          <w:rFonts w:hint="eastAsia" w:ascii="ＭＳ ゴシック" w:hAnsi="ＭＳ ゴシック" w:eastAsia="ＭＳ ゴシック"/>
          <w:spacing w:val="-4"/>
          <w:kern w:val="0"/>
        </w:rPr>
        <w:br w:type="textWrapping" w:clear="none"/>
      </w:r>
      <w:r>
        <w:rPr>
          <w:rFonts w:hint="eastAsia"/>
          <w:spacing w:val="-4"/>
          <w:kern w:val="0"/>
        </w:rPr>
        <w:t>高次脳機能障害のある人が身近な地域で適切なケアを受けられるよう、圏域ごとに地域リハビリテーション</w:t>
      </w:r>
      <w:r>
        <w:rPr>
          <w:rFonts w:hint="eastAsia"/>
          <w:spacing w:val="-4"/>
          <w:kern w:val="0"/>
          <w:vertAlign w:val="superscript"/>
        </w:rPr>
        <w:t>＊</w:t>
      </w:r>
      <w:r>
        <w:rPr>
          <w:rFonts w:hint="eastAsia"/>
          <w:spacing w:val="-4"/>
          <w:kern w:val="0"/>
        </w:rPr>
        <w:t>関係医療機関、高次脳機能障害支援拠点機関、就労支援関係機関、健康福祉センター等との連携により相談支援体制の充実を図ります。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spacing w:val="-4"/>
          <w:kern w:val="0"/>
          <w:sz w:val="22"/>
        </w:rPr>
      </w:pPr>
    </w:p>
    <w:p>
      <w:pPr>
        <w:pStyle w:val="0"/>
        <w:numPr>
          <w:ilvl w:val="0"/>
          <w:numId w:val="130"/>
        </w:numPr>
        <w:autoSpaceDE w:val="0"/>
        <w:autoSpaceDN w:val="0"/>
        <w:adjustRightInd w:val="0"/>
        <w:spacing w:line="360" w:lineRule="exact"/>
        <w:ind w:left="595" w:hanging="357"/>
        <w:jc w:val="left"/>
        <w:rPr>
          <w:rFonts w:hint="default"/>
          <w:spacing w:val="-4"/>
          <w:kern w:val="0"/>
          <w:sz w:val="22"/>
        </w:rPr>
      </w:pPr>
      <w:r>
        <w:rPr>
          <w:rFonts w:hint="eastAsia" w:ascii="ＭＳ ゴシック" w:hAnsi="ＭＳ ゴシック" w:eastAsia="ＭＳ ゴシック"/>
          <w:spacing w:val="-4"/>
          <w:kern w:val="0"/>
        </w:rPr>
        <w:t>摂食障害</w:t>
      </w:r>
      <w:r>
        <w:rPr>
          <w:rFonts w:hint="eastAsia" w:ascii="ＭＳ ゴシック" w:hAnsi="ＭＳ ゴシック" w:eastAsia="ＭＳ ゴシック"/>
          <w:spacing w:val="-4"/>
          <w:kern w:val="0"/>
        </w:rPr>
        <w:br w:type="textWrapping" w:clear="none"/>
      </w:r>
      <w:r>
        <w:rPr>
          <w:rFonts w:hint="eastAsia"/>
          <w:spacing w:val="-4"/>
          <w:kern w:val="0"/>
        </w:rPr>
        <w:t>摂食障害は、適切な治療と支援によって回復が可能な疾患である一方、専門とする医療機関が少ないことから、患者が身近な地域で適切なケアを受けられるよう、医療連携体制の充実等を図ります。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spacing w:val="-4"/>
          <w:kern w:val="0"/>
          <w:sz w:val="22"/>
        </w:rPr>
      </w:pPr>
    </w:p>
    <w:p>
      <w:pPr>
        <w:pStyle w:val="0"/>
        <w:numPr>
          <w:ilvl w:val="0"/>
          <w:numId w:val="130"/>
        </w:numPr>
        <w:autoSpaceDE w:val="0"/>
        <w:autoSpaceDN w:val="0"/>
        <w:adjustRightInd w:val="0"/>
        <w:spacing w:line="360" w:lineRule="exact"/>
        <w:ind w:left="595" w:hanging="357"/>
        <w:jc w:val="left"/>
        <w:rPr>
          <w:rFonts w:hint="default"/>
          <w:spacing w:val="-4"/>
          <w:kern w:val="0"/>
          <w:sz w:val="22"/>
        </w:rPr>
      </w:pPr>
      <w:r>
        <w:rPr>
          <w:rFonts w:hint="eastAsia" w:ascii="ＭＳ ゴシック" w:hAnsi="ＭＳ ゴシック" w:eastAsia="ＭＳ ゴシック"/>
          <w:spacing w:val="-4"/>
          <w:kern w:val="0"/>
        </w:rPr>
        <w:t>てんかん</w:t>
      </w:r>
      <w:r>
        <w:rPr>
          <w:rFonts w:hint="eastAsia" w:ascii="ＭＳ ゴシック" w:hAnsi="ＭＳ ゴシック" w:eastAsia="ＭＳ ゴシック"/>
          <w:spacing w:val="-4"/>
          <w:kern w:val="0"/>
        </w:rPr>
        <w:br w:type="textWrapping" w:clear="none"/>
      </w:r>
      <w:r>
        <w:rPr>
          <w:rFonts w:hint="eastAsia"/>
          <w:spacing w:val="-4"/>
          <w:kern w:val="0"/>
        </w:rPr>
        <w:t>てんかんは、適切な診断、手術や服薬等により症状を抑えることができる又は治癒する場合もあり、社会で活動しながら生活できる場合も多いことから、運転、就労などの生活にかかわる相談支援体制を充実し、てんかんに関する正しい知識や理解の普及啓発を推進し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ind w:left="600"/>
        <w:jc w:val="left"/>
        <w:rPr>
          <w:rFonts w:hint="default"/>
          <w:spacing w:val="-4"/>
          <w:kern w:val="0"/>
          <w:sz w:val="22"/>
        </w:rPr>
      </w:pPr>
    </w:p>
    <w:p>
      <w:pPr>
        <w:pStyle w:val="0"/>
        <w:rPr>
          <w:rFonts w:hint="default" w:ascii="ＭＳ ゴシック" w:hAnsi="ＭＳ ゴシック" w:eastAsia="ＭＳ ゴシック"/>
        </w:rPr>
      </w:pPr>
      <w:r>
        <w:rPr>
          <w:rFonts w:hint="eastAsia" w:ascii="ＭＳ ゴシック" w:hAnsi="ＭＳ ゴシック" w:eastAsia="ＭＳ ゴシック"/>
        </w:rPr>
        <w:t>【数値目標】</w:t>
      </w:r>
    </w:p>
    <w:tbl>
      <w:tblPr>
        <w:tblStyle w:val="11"/>
        <w:tblW w:w="9687"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09"/>
        <w:gridCol w:w="4896"/>
        <w:gridCol w:w="2191"/>
        <w:gridCol w:w="2191"/>
      </w:tblGrid>
      <w:tr>
        <w:trPr>
          <w:trHeight w:val="283" w:hRule="atLeast"/>
        </w:trPr>
        <w:tc>
          <w:tcPr>
            <w:tcW w:w="40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p>
        </w:tc>
        <w:tc>
          <w:tcPr>
            <w:tcW w:w="489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center"/>
              <w:rPr>
                <w:rFonts w:hint="default"/>
              </w:rPr>
            </w:pPr>
            <w:r>
              <w:rPr>
                <w:rFonts w:hint="eastAsia"/>
              </w:rPr>
              <w:t>現状値</w:t>
            </w:r>
          </w:p>
        </w:tc>
        <w:tc>
          <w:tcPr>
            <w:tcW w:w="2189" w:type="dxa"/>
            <w:vAlign w:val="center"/>
          </w:tcPr>
          <w:p>
            <w:pPr>
              <w:pStyle w:val="0"/>
              <w:jc w:val="center"/>
              <w:rPr>
                <w:rFonts w:hint="default"/>
              </w:rPr>
            </w:pPr>
            <w:r>
              <w:rPr>
                <w:rFonts w:hint="eastAsia"/>
              </w:rPr>
              <w:t>目標値</w:t>
            </w:r>
          </w:p>
        </w:tc>
      </w:tr>
      <w:tr>
        <w:trPr>
          <w:trHeight w:val="520" w:hRule="atLeast"/>
        </w:trPr>
        <w:tc>
          <w:tcPr>
            <w:tcW w:w="40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rPr>
            </w:pPr>
            <w:r>
              <w:rPr>
                <w:rFonts w:hint="eastAsia"/>
              </w:rPr>
              <w:t>１</w:t>
            </w:r>
          </w:p>
        </w:tc>
        <w:tc>
          <w:tcPr>
            <w:tcW w:w="489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rPr>
            </w:pPr>
            <w:r>
              <w:rPr>
                <w:rFonts w:hint="eastAsia"/>
                <w:color w:val="000000" w:themeColor="text1"/>
              </w:rPr>
              <w:t>多様な精神疾患等ごとの拠点医療機関設置数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156</w:t>
            </w:r>
            <w:r>
              <w:rPr>
                <w:rFonts w:hint="eastAsia"/>
                <w:color w:val="000000" w:themeColor="text1"/>
              </w:rPr>
              <w:t>箇所</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(2025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226</w:t>
            </w:r>
            <w:r>
              <w:rPr>
                <w:rFonts w:hint="eastAsia"/>
                <w:color w:val="000000" w:themeColor="text1"/>
              </w:rPr>
              <w:t>箇所</w:t>
            </w:r>
          </w:p>
        </w:tc>
      </w:tr>
      <w:tr>
        <w:trPr>
          <w:trHeight w:val="520" w:hRule="atLeast"/>
        </w:trPr>
        <w:tc>
          <w:tcPr>
            <w:tcW w:w="408" w:type="dxa"/>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default"/>
              </w:rPr>
            </w:pPr>
            <w:r>
              <w:rPr>
                <w:rFonts w:hint="eastAsia"/>
              </w:rPr>
              <w:t>２</w:t>
            </w:r>
          </w:p>
        </w:tc>
        <w:tc>
          <w:tcPr>
            <w:tcW w:w="489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rPr>
            </w:pPr>
            <w:r>
              <w:rPr>
                <w:rFonts w:hint="eastAsia"/>
                <w:color w:val="000000" w:themeColor="text1"/>
              </w:rPr>
              <w:t>依存症相談支援に携わる従事者向け研修の参加人数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36</w:t>
            </w:r>
            <w:r>
              <w:rPr>
                <w:rFonts w:hint="eastAsia"/>
                <w:color w:val="000000" w:themeColor="text1"/>
              </w:rPr>
              <w:t>人</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2022</w:t>
            </w:r>
            <w:r>
              <w:rPr>
                <w:rFonts w:hint="eastAsia"/>
                <w:color w:val="000000" w:themeColor="text1"/>
              </w:rPr>
              <w:t>～</w:t>
            </w:r>
            <w:r>
              <w:rPr>
                <w:rFonts w:hint="eastAsia"/>
                <w:color w:val="000000" w:themeColor="text1"/>
              </w:rPr>
              <w:t>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316</w:t>
            </w:r>
            <w:r>
              <w:rPr>
                <w:rFonts w:hint="eastAsia"/>
                <w:color w:val="000000" w:themeColor="text1"/>
              </w:rPr>
              <w:t>人</w:t>
            </w:r>
          </w:p>
        </w:tc>
      </w:tr>
    </w:tbl>
    <w:p>
      <w:pPr>
        <w:pStyle w:val="0"/>
        <w:rPr>
          <w:rFonts w:hint="default" w:ascii="ＭＳ ゴシック" w:hAnsi="ＭＳ ゴシック" w:eastAsia="ＭＳ ゴシック"/>
          <w:u w:val="single" w:color="auto"/>
        </w:rPr>
      </w:pPr>
      <w:r>
        <w:rPr>
          <w:rFonts w:hint="eastAsia"/>
        </w:rPr>
        <w:br w:type="page"/>
      </w:r>
      <w:bookmarkStart w:id="142" w:name="_Toc503474104"/>
      <w:bookmarkEnd w:id="142"/>
      <w:r>
        <w:rPr>
          <w:rFonts w:hint="eastAsia" w:ascii="ＭＳ ゴシック" w:hAnsi="ＭＳ ゴシック" w:eastAsia="ＭＳ ゴシック"/>
          <w:sz w:val="26"/>
          <w:u w:val="single" w:color="auto"/>
        </w:rPr>
        <w:t>６　難病のある人に対する支援の充実</w:t>
      </w:r>
    </w:p>
    <w:p>
      <w:pPr>
        <w:pStyle w:val="0"/>
        <w:outlineLvl w:val="2"/>
        <w:rPr>
          <w:rFonts w:hint="default" w:ascii="ＭＳ ゴシック" w:hAnsi="ＭＳ ゴシック" w:eastAsia="ＭＳ ゴシック"/>
        </w:rPr>
      </w:pPr>
      <w:bookmarkStart w:id="143" w:name="_Toc503474105"/>
      <w:bookmarkEnd w:id="143"/>
      <w:r>
        <w:rPr>
          <w:rFonts w:hint="eastAsia" w:ascii="ＭＳ ゴシック" w:hAnsi="ＭＳ ゴシック" w:eastAsia="ＭＳ ゴシック"/>
        </w:rPr>
        <w:t>（１）難病患者に対する支援</w:t>
      </w:r>
    </w:p>
    <w:p>
      <w:pPr>
        <w:pStyle w:val="0"/>
        <w:rPr>
          <w:rFonts w:hint="default"/>
        </w:rPr>
      </w:pPr>
      <w:r>
        <w:rPr>
          <w:rFonts w:hint="eastAsia" w:ascii="ＭＳ ゴシック" w:hAnsi="ＭＳ ゴシック" w:eastAsia="ＭＳ ゴシック"/>
        </w:rPr>
        <w:t>【現状と課題】</w:t>
      </w:r>
    </w:p>
    <w:p>
      <w:pPr>
        <w:pStyle w:val="0"/>
        <w:numPr>
          <w:ilvl w:val="0"/>
          <w:numId w:val="29"/>
        </w:numPr>
        <w:autoSpaceDE w:val="0"/>
        <w:autoSpaceDN w:val="0"/>
        <w:adjustRightInd w:val="0"/>
        <w:spacing w:line="360" w:lineRule="exact"/>
        <w:jc w:val="left"/>
        <w:rPr>
          <w:rFonts w:hint="default"/>
          <w:color w:val="000000" w:themeColor="text1"/>
        </w:rPr>
      </w:pPr>
      <w:r>
        <w:rPr>
          <w:rFonts w:hint="eastAsia"/>
          <w:kern w:val="0"/>
        </w:rPr>
        <w:t>障害者総合支援法</w:t>
      </w:r>
      <w:r>
        <w:rPr>
          <w:rFonts w:hint="eastAsia"/>
          <w:color w:val="000000" w:themeColor="text1"/>
          <w:kern w:val="0"/>
        </w:rPr>
        <w:t>においては、難病患者も障害福祉サービス等が利用可能となり、対象範囲は</w:t>
      </w:r>
      <w:r>
        <w:rPr>
          <w:rFonts w:hint="eastAsia"/>
          <w:color w:val="000000" w:themeColor="text1"/>
          <w:kern w:val="0"/>
        </w:rPr>
        <w:t>2021</w:t>
      </w:r>
      <w:r>
        <w:rPr>
          <w:rFonts w:hint="eastAsia"/>
          <w:color w:val="000000" w:themeColor="text1"/>
          <w:kern w:val="0"/>
        </w:rPr>
        <w:t>年</w:t>
      </w:r>
      <w:r>
        <w:rPr>
          <w:rFonts w:hint="eastAsia"/>
          <w:color w:val="000000" w:themeColor="text1"/>
          <w:kern w:val="0"/>
        </w:rPr>
        <w:t>11</w:t>
      </w:r>
      <w:r>
        <w:rPr>
          <w:rFonts w:hint="eastAsia"/>
          <w:color w:val="000000" w:themeColor="text1"/>
          <w:kern w:val="0"/>
        </w:rPr>
        <w:t>月時点で</w:t>
      </w:r>
      <w:r>
        <w:rPr>
          <w:rFonts w:hint="eastAsia"/>
          <w:color w:val="000000" w:themeColor="text1"/>
          <w:kern w:val="0"/>
        </w:rPr>
        <w:t>366</w:t>
      </w:r>
      <w:r>
        <w:rPr>
          <w:rFonts w:hint="eastAsia"/>
          <w:color w:val="000000" w:themeColor="text1"/>
          <w:kern w:val="0"/>
        </w:rPr>
        <w:t>疾患となっています。</w:t>
      </w:r>
    </w:p>
    <w:p>
      <w:pPr>
        <w:pStyle w:val="0"/>
        <w:autoSpaceDE w:val="0"/>
        <w:autoSpaceDN w:val="0"/>
        <w:adjustRightInd w:val="0"/>
        <w:spacing w:line="360" w:lineRule="exact"/>
        <w:ind w:left="576"/>
        <w:jc w:val="left"/>
        <w:rPr>
          <w:rFonts w:hint="default"/>
          <w:color w:val="000000" w:themeColor="text1"/>
        </w:rPr>
      </w:pPr>
    </w:p>
    <w:p>
      <w:pPr>
        <w:pStyle w:val="0"/>
        <w:numPr>
          <w:ilvl w:val="0"/>
          <w:numId w:val="29"/>
        </w:numPr>
        <w:autoSpaceDE w:val="0"/>
        <w:autoSpaceDN w:val="0"/>
        <w:adjustRightInd w:val="0"/>
        <w:spacing w:line="360" w:lineRule="exact"/>
        <w:jc w:val="left"/>
        <w:rPr>
          <w:rFonts w:hint="default"/>
          <w:color w:val="000000" w:themeColor="text1"/>
        </w:rPr>
      </w:pPr>
      <w:r>
        <w:rPr>
          <w:rFonts w:hint="eastAsia"/>
          <w:color w:val="000000" w:themeColor="text1"/>
          <w:kern w:val="0"/>
        </w:rPr>
        <w:t>難病患者の安定した療養生活の確保や生活の質（ＱＯＬ）の向上のため、各種の保健・医療・福祉のサービスを充実することが必要です。</w:t>
      </w:r>
    </w:p>
    <w:p>
      <w:pPr>
        <w:pStyle w:val="0"/>
        <w:autoSpaceDE w:val="0"/>
        <w:autoSpaceDN w:val="0"/>
        <w:adjustRightInd w:val="0"/>
        <w:spacing w:line="360" w:lineRule="exact"/>
        <w:jc w:val="left"/>
        <w:rPr>
          <w:rFonts w:hint="default"/>
          <w:color w:val="000000" w:themeColor="text1"/>
        </w:rPr>
      </w:pPr>
    </w:p>
    <w:p>
      <w:pPr>
        <w:pStyle w:val="0"/>
        <w:numPr>
          <w:ilvl w:val="0"/>
          <w:numId w:val="29"/>
        </w:numPr>
        <w:autoSpaceDE w:val="0"/>
        <w:autoSpaceDN w:val="0"/>
        <w:adjustRightInd w:val="0"/>
        <w:spacing w:line="360" w:lineRule="exact"/>
        <w:jc w:val="left"/>
        <w:rPr>
          <w:rFonts w:hint="default"/>
          <w:color w:val="000000" w:themeColor="text1"/>
        </w:rPr>
      </w:pPr>
      <w:r>
        <w:rPr>
          <w:rFonts w:hint="eastAsia"/>
          <w:color w:val="000000" w:themeColor="text1"/>
          <w:kern w:val="0"/>
        </w:rPr>
        <w:t>難病患者の在宅での療養生活を支援するため、一人ひとりの療養計画に沿ったきめ細かな相談支援ができるように関係機関の連携体制を構築することが重要です。</w:t>
      </w:r>
    </w:p>
    <w:p>
      <w:pPr>
        <w:pStyle w:val="0"/>
        <w:rPr>
          <w:rFonts w:hint="default"/>
          <w:color w:val="000000" w:themeColor="text1"/>
        </w:rPr>
      </w:pPr>
    </w:p>
    <w:p>
      <w:pPr>
        <w:pStyle w:val="0"/>
        <w:rPr>
          <w:rFonts w:hint="default"/>
          <w:color w:val="000000" w:themeColor="text1"/>
        </w:rPr>
      </w:pPr>
      <w:r>
        <w:rPr>
          <w:rFonts w:hint="eastAsia" w:ascii="ＭＳ ゴシック" w:hAnsi="ＭＳ ゴシック" w:eastAsia="ＭＳ ゴシック"/>
          <w:color w:val="000000" w:themeColor="text1"/>
        </w:rPr>
        <w:t>【県の取組】</w:t>
      </w:r>
    </w:p>
    <w:p>
      <w:pPr>
        <w:pStyle w:val="0"/>
        <w:numPr>
          <w:ilvl w:val="0"/>
          <w:numId w:val="131"/>
        </w:numPr>
        <w:autoSpaceDE w:val="0"/>
        <w:autoSpaceDN w:val="0"/>
        <w:adjustRightInd w:val="0"/>
        <w:spacing w:line="360" w:lineRule="exact"/>
        <w:ind w:left="573" w:hanging="357"/>
        <w:jc w:val="left"/>
        <w:rPr>
          <w:rFonts w:hint="default"/>
          <w:color w:val="000000" w:themeColor="text1"/>
          <w:sz w:val="16"/>
        </w:rPr>
      </w:pPr>
      <w:r>
        <w:rPr>
          <w:rFonts w:hint="eastAsia"/>
          <w:color w:val="000000" w:themeColor="text1"/>
          <w:kern w:val="0"/>
        </w:rPr>
        <w:t>難病患者が住み慣れた地域で安心して生活できるように、居宅介護（ホームヘルプサービス）</w:t>
      </w:r>
      <w:r>
        <w:rPr>
          <w:rFonts w:hint="eastAsia"/>
          <w:color w:val="000000" w:themeColor="text1"/>
          <w:kern w:val="0"/>
          <w:vertAlign w:val="superscript"/>
        </w:rPr>
        <w:t>＊</w:t>
      </w:r>
      <w:r>
        <w:rPr>
          <w:rFonts w:hint="eastAsia"/>
          <w:color w:val="000000" w:themeColor="text1"/>
          <w:kern w:val="0"/>
        </w:rPr>
        <w:t>をはじめとする障害福祉サービス等の充実を図るとともに、関係機関・団体と連携しながら、訪問相談等の医療サービスの提供を行う。</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障害者支援局</w:t>
      </w:r>
      <w:r>
        <w:rPr>
          <w:rFonts w:hint="eastAsia"/>
          <w:color w:val="000000" w:themeColor="text1"/>
          <w:sz w:val="16"/>
        </w:rPr>
        <w:t>]</w:t>
      </w:r>
      <w:r>
        <w:rPr>
          <w:rFonts w:hint="eastAsia"/>
          <w:color w:val="000000" w:themeColor="text1"/>
          <w:sz w:val="16"/>
        </w:rPr>
        <w:t>、</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医療局</w:t>
      </w:r>
      <w:r>
        <w:rPr>
          <w:rFonts w:hint="eastAsia"/>
          <w:color w:val="000000" w:themeColor="text1"/>
          <w:sz w:val="16"/>
        </w:rPr>
        <w:t>]</w:t>
      </w:r>
    </w:p>
    <w:p>
      <w:pPr>
        <w:pStyle w:val="0"/>
        <w:autoSpaceDE w:val="0"/>
        <w:autoSpaceDN w:val="0"/>
        <w:adjustRightInd w:val="0"/>
        <w:spacing w:line="360" w:lineRule="exact"/>
        <w:ind w:left="573"/>
        <w:jc w:val="left"/>
        <w:rPr>
          <w:rFonts w:hint="default"/>
          <w:color w:val="000000" w:themeColor="text1"/>
          <w:sz w:val="16"/>
        </w:rPr>
      </w:pPr>
    </w:p>
    <w:p>
      <w:pPr>
        <w:pStyle w:val="0"/>
        <w:numPr>
          <w:ilvl w:val="0"/>
          <w:numId w:val="131"/>
        </w:numPr>
        <w:autoSpaceDE w:val="0"/>
        <w:autoSpaceDN w:val="0"/>
        <w:adjustRightInd w:val="0"/>
        <w:spacing w:line="360" w:lineRule="exact"/>
        <w:ind w:left="573" w:hanging="357"/>
        <w:jc w:val="left"/>
        <w:rPr>
          <w:rFonts w:hint="default"/>
          <w:spacing w:val="-4"/>
          <w:kern w:val="0"/>
        </w:rPr>
      </w:pPr>
      <w:r>
        <w:rPr>
          <w:rFonts w:hint="eastAsia"/>
          <w:kern w:val="0"/>
        </w:rPr>
        <w:t>難病患者が、在宅で安心して暮らすことができるように、市町が実施する補装具</w:t>
      </w:r>
      <w:r>
        <w:rPr>
          <w:rFonts w:hint="eastAsia"/>
          <w:spacing w:val="-4"/>
          <w:kern w:val="0"/>
          <w:vertAlign w:val="superscript"/>
        </w:rPr>
        <w:t>＊</w:t>
      </w:r>
      <w:r>
        <w:rPr>
          <w:rFonts w:hint="eastAsia"/>
          <w:kern w:val="0"/>
        </w:rPr>
        <w:t>や日常生活用具</w:t>
      </w:r>
      <w:r>
        <w:rPr>
          <w:rFonts w:hint="eastAsia"/>
          <w:spacing w:val="-4"/>
          <w:kern w:val="0"/>
          <w:vertAlign w:val="superscript"/>
        </w:rPr>
        <w:t>＊</w:t>
      </w:r>
      <w:r>
        <w:rPr>
          <w:rFonts w:hint="eastAsia"/>
          <w:kern w:val="0"/>
        </w:rPr>
        <w:t>の給付等に関する助言などの支援を行います。</w:t>
      </w:r>
      <w:r>
        <w:rPr>
          <w:rFonts w:hint="eastAsia"/>
          <w:spacing w:val="-4"/>
          <w:kern w:val="0"/>
          <w:sz w:val="16"/>
        </w:rPr>
        <w:t>[</w:t>
      </w:r>
      <w:r>
        <w:rPr>
          <w:rFonts w:hint="eastAsia"/>
          <w:spacing w:val="-4"/>
          <w:kern w:val="0"/>
          <w:sz w:val="16"/>
        </w:rPr>
        <w:t>健康福祉部障害者支援局</w:t>
      </w:r>
      <w:r>
        <w:rPr>
          <w:rFonts w:hint="eastAsia"/>
          <w:spacing w:val="-4"/>
          <w:kern w:val="0"/>
          <w:sz w:val="16"/>
        </w:rPr>
        <w:t>]</w:t>
      </w:r>
    </w:p>
    <w:p>
      <w:pPr>
        <w:pStyle w:val="0"/>
        <w:autoSpaceDE w:val="0"/>
        <w:autoSpaceDN w:val="0"/>
        <w:adjustRightInd w:val="0"/>
        <w:spacing w:line="360" w:lineRule="exact"/>
        <w:jc w:val="left"/>
        <w:rPr>
          <w:rFonts w:hint="default"/>
          <w:spacing w:val="-4"/>
          <w:kern w:val="0"/>
        </w:rPr>
      </w:pPr>
    </w:p>
    <w:p>
      <w:pPr>
        <w:pStyle w:val="0"/>
        <w:numPr>
          <w:ilvl w:val="0"/>
          <w:numId w:val="131"/>
        </w:numPr>
        <w:autoSpaceDE w:val="0"/>
        <w:autoSpaceDN w:val="0"/>
        <w:adjustRightInd w:val="0"/>
        <w:spacing w:line="360" w:lineRule="exact"/>
        <w:ind w:left="573" w:hanging="357"/>
        <w:jc w:val="left"/>
        <w:rPr>
          <w:rFonts w:hint="default"/>
          <w:color w:val="000000" w:themeColor="text1"/>
          <w:spacing w:val="-4"/>
          <w:kern w:val="0"/>
        </w:rPr>
      </w:pPr>
      <w:r>
        <w:rPr>
          <w:rFonts w:hint="eastAsia"/>
          <w:kern w:val="0"/>
        </w:rPr>
        <w:t>県難病相談支援センター</w:t>
      </w:r>
      <w:r>
        <w:rPr>
          <w:rFonts w:hint="eastAsia"/>
          <w:spacing w:val="-4"/>
          <w:kern w:val="0"/>
          <w:vertAlign w:val="superscript"/>
        </w:rPr>
        <w:t>＊</w:t>
      </w:r>
      <w:r>
        <w:rPr>
          <w:rFonts w:hint="eastAsia"/>
          <w:kern w:val="0"/>
        </w:rPr>
        <w:t>において、地域で生活する難病患者や家族の日常生活における相談支援、地域交流活動の促進及び就労支援を行います。</w:t>
      </w:r>
      <w:r>
        <w:rPr>
          <w:rFonts w:hint="eastAsia"/>
          <w:sz w:val="16"/>
        </w:rPr>
        <w:t>[</w:t>
      </w:r>
      <w:r>
        <w:rPr>
          <w:rFonts w:hint="eastAsia"/>
          <w:spacing w:val="-4"/>
          <w:kern w:val="0"/>
          <w:sz w:val="16"/>
        </w:rPr>
        <w:t>健康福祉部</w:t>
      </w:r>
      <w:r>
        <w:rPr>
          <w:rFonts w:hint="eastAsia"/>
          <w:color w:val="000000" w:themeColor="text1"/>
          <w:sz w:val="16"/>
        </w:rPr>
        <w:t>医療局</w:t>
      </w:r>
      <w:r>
        <w:rPr>
          <w:rFonts w:hint="eastAsia"/>
          <w:color w:val="000000" w:themeColor="text1"/>
          <w:sz w:val="16"/>
        </w:rPr>
        <w:t>]</w:t>
      </w:r>
    </w:p>
    <w:p>
      <w:pPr>
        <w:pStyle w:val="0"/>
        <w:autoSpaceDE w:val="0"/>
        <w:autoSpaceDN w:val="0"/>
        <w:adjustRightInd w:val="0"/>
        <w:spacing w:line="360" w:lineRule="exact"/>
        <w:jc w:val="left"/>
        <w:rPr>
          <w:rFonts w:hint="default"/>
          <w:color w:val="000000" w:themeColor="text1"/>
          <w:spacing w:val="-4"/>
          <w:kern w:val="0"/>
        </w:rPr>
      </w:pPr>
    </w:p>
    <w:p>
      <w:pPr>
        <w:pStyle w:val="0"/>
        <w:numPr>
          <w:ilvl w:val="0"/>
          <w:numId w:val="131"/>
        </w:numPr>
        <w:autoSpaceDE w:val="0"/>
        <w:autoSpaceDN w:val="0"/>
        <w:adjustRightInd w:val="0"/>
        <w:spacing w:line="360" w:lineRule="exact"/>
        <w:ind w:left="573" w:hanging="357"/>
        <w:jc w:val="left"/>
        <w:rPr>
          <w:rFonts w:hint="default"/>
          <w:color w:val="000000" w:themeColor="text1"/>
        </w:rPr>
      </w:pPr>
      <w:r>
        <w:rPr>
          <w:rFonts w:hint="eastAsia"/>
          <w:color w:val="000000" w:themeColor="text1"/>
        </w:rPr>
        <w:t>難病患者を介護するホームヘルパー</w:t>
      </w:r>
      <w:r>
        <w:rPr>
          <w:rFonts w:hint="eastAsia"/>
          <w:color w:val="000000" w:themeColor="text1"/>
          <w:spacing w:val="-4"/>
          <w:kern w:val="0"/>
          <w:vertAlign w:val="superscript"/>
        </w:rPr>
        <w:t>＊</w:t>
      </w:r>
      <w:r>
        <w:rPr>
          <w:rFonts w:hint="eastAsia"/>
          <w:color w:val="000000" w:themeColor="text1"/>
        </w:rPr>
        <w:t>の養成研修を行うとともに、難病の知識啓発のための講演会等を実施します。また、</w:t>
      </w:r>
      <w:r>
        <w:rPr>
          <w:rFonts w:hint="eastAsia"/>
          <w:color w:val="000000" w:themeColor="text1"/>
          <w:kern w:val="0"/>
        </w:rPr>
        <w:t>国の指定難病に指定されていない原因不明の希少疾病等の講演会等を行い、広報啓発を図ります。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医療局</w:t>
      </w:r>
      <w:r>
        <w:rPr>
          <w:rFonts w:hint="eastAsia"/>
          <w:color w:val="000000" w:themeColor="text1"/>
          <w:sz w:val="16"/>
        </w:rPr>
        <w:t>]</w:t>
      </w:r>
    </w:p>
    <w:p>
      <w:pPr>
        <w:pStyle w:val="0"/>
        <w:autoSpaceDE w:val="0"/>
        <w:autoSpaceDN w:val="0"/>
        <w:adjustRightInd w:val="0"/>
        <w:spacing w:line="360" w:lineRule="exact"/>
        <w:jc w:val="left"/>
        <w:rPr>
          <w:rFonts w:hint="default"/>
          <w:color w:val="000000" w:themeColor="text1"/>
        </w:rPr>
      </w:pPr>
    </w:p>
    <w:p>
      <w:pPr>
        <w:pStyle w:val="0"/>
        <w:numPr>
          <w:ilvl w:val="0"/>
          <w:numId w:val="131"/>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在宅で療養する介護の必要が高い難病患者が病状の悪化等により入院が必要となった場合の入院施設を確保するとともに、各種相談に応じるため、医療機関による難病医療体制（ネットワーク）の充実を図り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医療局</w:t>
      </w:r>
      <w:r>
        <w:rPr>
          <w:rFonts w:hint="eastAsia"/>
          <w:color w:val="000000" w:themeColor="text1"/>
          <w:sz w:val="16"/>
        </w:rPr>
        <w:t>]</w:t>
      </w:r>
    </w:p>
    <w:p>
      <w:pPr>
        <w:pStyle w:val="0"/>
        <w:autoSpaceDE w:val="0"/>
        <w:autoSpaceDN w:val="0"/>
        <w:adjustRightInd w:val="0"/>
        <w:spacing w:line="360" w:lineRule="exact"/>
        <w:jc w:val="left"/>
        <w:rPr>
          <w:rFonts w:hint="default"/>
          <w:color w:val="000000" w:themeColor="text1"/>
        </w:rPr>
      </w:pPr>
    </w:p>
    <w:p>
      <w:pPr>
        <w:pStyle w:val="0"/>
        <w:numPr>
          <w:ilvl w:val="0"/>
          <w:numId w:val="131"/>
        </w:numPr>
        <w:autoSpaceDE w:val="0"/>
        <w:autoSpaceDN w:val="0"/>
        <w:adjustRightInd w:val="0"/>
        <w:spacing w:line="360" w:lineRule="exact"/>
        <w:ind w:left="573" w:hanging="357"/>
        <w:jc w:val="left"/>
        <w:rPr>
          <w:rFonts w:hint="default"/>
          <w:color w:val="000000" w:themeColor="text1"/>
        </w:rPr>
      </w:pPr>
      <w:r>
        <w:rPr>
          <w:rFonts w:hint="eastAsia"/>
          <w:color w:val="000000" w:themeColor="text1"/>
          <w:kern w:val="0"/>
        </w:rPr>
        <w:t>難病患者に対し、適切な医療サービスを提供するとともに、指定難病等の治療に要する医療費負担を軽減する等の支援を行います。</w:t>
      </w:r>
      <w:r>
        <w:rPr>
          <w:rFonts w:hint="eastAsia"/>
          <w:color w:val="000000" w:themeColor="text1"/>
          <w:sz w:val="16"/>
        </w:rPr>
        <w:t>[</w:t>
      </w:r>
      <w:r>
        <w:rPr>
          <w:rFonts w:hint="eastAsia"/>
          <w:color w:val="000000" w:themeColor="text1"/>
          <w:spacing w:val="-4"/>
          <w:kern w:val="0"/>
          <w:sz w:val="16"/>
        </w:rPr>
        <w:t>健康福祉部</w:t>
      </w:r>
      <w:r>
        <w:rPr>
          <w:rFonts w:hint="eastAsia"/>
          <w:color w:val="000000" w:themeColor="text1"/>
          <w:sz w:val="16"/>
        </w:rPr>
        <w:t>医療局</w:t>
      </w:r>
      <w:r>
        <w:rPr>
          <w:rFonts w:hint="eastAsia"/>
          <w:color w:val="000000" w:themeColor="text1"/>
          <w:sz w:val="16"/>
        </w:rPr>
        <w:t>]</w:t>
      </w:r>
    </w:p>
    <w:p>
      <w:pPr>
        <w:pStyle w:val="0"/>
        <w:autoSpaceDE w:val="0"/>
        <w:autoSpaceDN w:val="0"/>
        <w:adjustRightInd w:val="0"/>
        <w:spacing w:line="360" w:lineRule="exact"/>
        <w:jc w:val="left"/>
        <w:rPr>
          <w:rFonts w:hint="default"/>
          <w:color w:val="000000" w:themeColor="text1"/>
        </w:rPr>
      </w:pPr>
    </w:p>
    <w:p>
      <w:pPr>
        <w:pStyle w:val="0"/>
        <w:autoSpaceDE w:val="0"/>
        <w:autoSpaceDN w:val="0"/>
        <w:adjustRightInd w:val="0"/>
        <w:spacing w:line="360" w:lineRule="exact"/>
        <w:jc w:val="left"/>
        <w:rPr>
          <w:rFonts w:hint="default"/>
          <w:color w:val="000000" w:themeColor="text1"/>
        </w:rPr>
      </w:pPr>
    </w:p>
    <w:p>
      <w:pPr>
        <w:pStyle w:val="0"/>
        <w:autoSpaceDE w:val="0"/>
        <w:autoSpaceDN w:val="0"/>
        <w:adjustRightInd w:val="0"/>
        <w:spacing w:line="360" w:lineRule="exact"/>
        <w:jc w:val="left"/>
        <w:rPr>
          <w:rFonts w:hint="default"/>
          <w:color w:val="000000" w:themeColor="text1"/>
        </w:rPr>
      </w:pPr>
    </w:p>
    <w:p>
      <w:pPr>
        <w:pStyle w:val="0"/>
        <w:autoSpaceDE w:val="0"/>
        <w:autoSpaceDN w:val="0"/>
        <w:adjustRightInd w:val="0"/>
        <w:spacing w:line="360" w:lineRule="exact"/>
        <w:jc w:val="left"/>
        <w:rPr>
          <w:rFonts w:hint="default"/>
          <w:color w:val="000000" w:themeColor="text1"/>
        </w:rPr>
      </w:pPr>
    </w:p>
    <w:p>
      <w:pPr>
        <w:pStyle w:val="0"/>
        <w:autoSpaceDE w:val="0"/>
        <w:autoSpaceDN w:val="0"/>
        <w:adjustRightInd w:val="0"/>
        <w:spacing w:line="360" w:lineRule="exact"/>
        <w:jc w:val="left"/>
        <w:rPr>
          <w:rFonts w:hint="default"/>
          <w:color w:val="000000" w:themeColor="text1"/>
        </w:rPr>
      </w:pPr>
    </w:p>
    <w:p>
      <w:pPr>
        <w:pStyle w:val="0"/>
        <w:autoSpaceDE w:val="0"/>
        <w:autoSpaceDN w:val="0"/>
        <w:adjustRightInd w:val="0"/>
        <w:spacing w:line="360" w:lineRule="exact"/>
        <w:jc w:val="left"/>
        <w:rPr>
          <w:rFonts w:hint="default"/>
          <w:color w:val="000000" w:themeColor="text1"/>
        </w:rPr>
      </w:pPr>
    </w:p>
    <w:p>
      <w:pPr>
        <w:pStyle w:val="0"/>
        <w:rPr>
          <w:rFonts w:hint="default"/>
          <w:color w:val="000000" w:themeColor="text1"/>
        </w:rPr>
      </w:pPr>
      <w:r>
        <w:rPr>
          <w:rFonts w:hint="eastAsia" w:ascii="ＭＳ ゴシック" w:hAnsi="ＭＳ ゴシック" w:eastAsia="ＭＳ ゴシック"/>
          <w:color w:val="000000" w:themeColor="text1"/>
        </w:rPr>
        <w:t>【数値目標】</w:t>
      </w:r>
    </w:p>
    <w:tbl>
      <w:tblPr>
        <w:tblStyle w:val="11"/>
        <w:tblW w:w="9687"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438"/>
        <w:gridCol w:w="4871"/>
        <w:gridCol w:w="2189"/>
        <w:gridCol w:w="2189"/>
      </w:tblGrid>
      <w:tr>
        <w:trPr>
          <w:trHeight w:val="122"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color w:val="000000" w:themeColor="text1"/>
              </w:rPr>
            </w:pP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color w:val="000000" w:themeColor="text1"/>
              </w:rPr>
            </w:pPr>
            <w:r>
              <w:rPr>
                <w:rFonts w:hint="eastAsia"/>
                <w:color w:val="000000" w:themeColor="text1"/>
              </w:rPr>
              <w:t>指　　　　　　　　標</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center"/>
              <w:rPr>
                <w:rFonts w:hint="default"/>
                <w:color w:val="000000" w:themeColor="text1"/>
              </w:rPr>
            </w:pPr>
            <w:r>
              <w:rPr>
                <w:rFonts w:hint="eastAsia"/>
                <w:color w:val="000000" w:themeColor="text1"/>
              </w:rPr>
              <w:t>現状値</w:t>
            </w:r>
          </w:p>
        </w:tc>
        <w:tc>
          <w:tcPr>
            <w:tcW w:w="2189" w:type="dxa"/>
            <w:vAlign w:val="center"/>
          </w:tcPr>
          <w:p>
            <w:pPr>
              <w:pStyle w:val="0"/>
              <w:jc w:val="center"/>
              <w:rPr>
                <w:rFonts w:hint="default"/>
                <w:color w:val="000000" w:themeColor="text1"/>
              </w:rPr>
            </w:pPr>
            <w:r>
              <w:rPr>
                <w:rFonts w:hint="eastAsia"/>
                <w:color w:val="000000" w:themeColor="text1"/>
              </w:rPr>
              <w:t>目標値</w:t>
            </w:r>
          </w:p>
        </w:tc>
      </w:tr>
      <w:tr>
        <w:trPr>
          <w:trHeight w:val="646"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color w:val="000000" w:themeColor="text1"/>
              </w:rPr>
            </w:pPr>
            <w:r>
              <w:rPr>
                <w:rFonts w:hint="eastAsia"/>
                <w:color w:val="000000" w:themeColor="text1"/>
              </w:rPr>
              <w:t>１</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rPr>
            </w:pPr>
            <w:r>
              <w:rPr>
                <w:rFonts w:hint="eastAsia"/>
                <w:color w:val="000000" w:themeColor="text1"/>
              </w:rPr>
              <w:t>県及び政令市難病相談支援センター</w:t>
            </w:r>
            <w:r>
              <w:rPr>
                <w:rFonts w:hint="eastAsia"/>
                <w:color w:val="000000" w:themeColor="text1"/>
                <w:spacing w:val="-4"/>
                <w:kern w:val="0"/>
                <w:vertAlign w:val="superscript"/>
              </w:rPr>
              <w:t>＊</w:t>
            </w:r>
            <w:r>
              <w:rPr>
                <w:rFonts w:hint="eastAsia"/>
                <w:color w:val="000000" w:themeColor="text1"/>
              </w:rPr>
              <w:t>等における支援の件数（相談完結件数）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2020</w:t>
            </w:r>
            <w:r>
              <w:rPr>
                <w:rFonts w:hint="eastAsia"/>
                <w:color w:val="000000" w:themeColor="text1"/>
              </w:rPr>
              <w:t>年度）</w:t>
            </w:r>
          </w:p>
          <w:p>
            <w:pPr>
              <w:pStyle w:val="0"/>
              <w:spacing w:line="360" w:lineRule="exact"/>
              <w:jc w:val="center"/>
              <w:rPr>
                <w:rFonts w:hint="default"/>
                <w:dstrike w:val="1"/>
                <w:color w:val="000000" w:themeColor="text1"/>
              </w:rPr>
            </w:pPr>
            <w:r>
              <w:rPr>
                <w:rFonts w:hint="eastAsia"/>
                <w:color w:val="000000" w:themeColor="text1"/>
              </w:rPr>
              <w:t>884</w:t>
            </w:r>
            <w:r>
              <w:rPr>
                <w:rFonts w:hint="eastAsia"/>
                <w:color w:val="000000" w:themeColor="text1"/>
              </w:rPr>
              <w:t>件</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2025</w:t>
            </w:r>
            <w:r>
              <w:rPr>
                <w:rFonts w:hint="eastAsia"/>
                <w:color w:val="000000" w:themeColor="text1"/>
              </w:rPr>
              <w:t>年度）</w:t>
            </w:r>
          </w:p>
          <w:p>
            <w:pPr>
              <w:pStyle w:val="0"/>
              <w:spacing w:line="360" w:lineRule="exact"/>
              <w:jc w:val="center"/>
              <w:rPr>
                <w:rFonts w:hint="default"/>
                <w:dstrike w:val="1"/>
                <w:color w:val="000000" w:themeColor="text1"/>
              </w:rPr>
            </w:pPr>
            <w:r>
              <w:rPr>
                <w:rFonts w:hint="eastAsia"/>
                <w:color w:val="000000" w:themeColor="text1"/>
              </w:rPr>
              <w:t>1,000</w:t>
            </w:r>
            <w:r>
              <w:rPr>
                <w:rFonts w:hint="eastAsia"/>
                <w:color w:val="000000" w:themeColor="text1"/>
              </w:rPr>
              <w:t>件</w:t>
            </w:r>
          </w:p>
        </w:tc>
      </w:tr>
      <w:tr>
        <w:trPr>
          <w:trHeight w:val="646" w:hRule="atLeast"/>
        </w:trPr>
        <w:tc>
          <w:tcPr>
            <w:tcW w:w="43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color w:val="000000" w:themeColor="text1"/>
              </w:rPr>
            </w:pPr>
            <w:r>
              <w:rPr>
                <w:rFonts w:hint="eastAsia"/>
                <w:color w:val="000000" w:themeColor="text1"/>
              </w:rPr>
              <w:t>２</w:t>
            </w:r>
          </w:p>
        </w:tc>
        <w:tc>
          <w:tcPr>
            <w:tcW w:w="4871"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60" w:lineRule="exact"/>
              <w:rPr>
                <w:rFonts w:hint="default"/>
                <w:color w:val="000000" w:themeColor="text1"/>
              </w:rPr>
            </w:pPr>
            <w:r>
              <w:rPr>
                <w:rFonts w:hint="eastAsia"/>
                <w:color w:val="000000" w:themeColor="text1"/>
              </w:rPr>
              <w:t>難病患者ホームヘルパー養成研修受講者数</w:t>
            </w:r>
          </w:p>
        </w:tc>
        <w:tc>
          <w:tcPr>
            <w:tcW w:w="218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2020</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3,378</w:t>
            </w:r>
            <w:r>
              <w:rPr>
                <w:rFonts w:hint="eastAsia"/>
                <w:color w:val="000000" w:themeColor="text1"/>
              </w:rPr>
              <w:t>人</w:t>
            </w:r>
          </w:p>
        </w:tc>
        <w:tc>
          <w:tcPr>
            <w:tcW w:w="2189" w:type="dxa"/>
            <w:vAlign w:val="center"/>
          </w:tcPr>
          <w:p>
            <w:pPr>
              <w:pStyle w:val="0"/>
              <w:spacing w:line="360" w:lineRule="exact"/>
              <w:jc w:val="center"/>
              <w:rPr>
                <w:rFonts w:hint="default"/>
                <w:color w:val="000000" w:themeColor="text1"/>
              </w:rPr>
            </w:pPr>
            <w:r>
              <w:rPr>
                <w:rFonts w:hint="eastAsia"/>
                <w:color w:val="000000" w:themeColor="text1"/>
              </w:rPr>
              <w:t>（～</w:t>
            </w:r>
            <w:r>
              <w:rPr>
                <w:rFonts w:hint="eastAsia"/>
                <w:color w:val="000000" w:themeColor="text1"/>
              </w:rPr>
              <w:t>2025</w:t>
            </w:r>
            <w:r>
              <w:rPr>
                <w:rFonts w:hint="eastAsia"/>
                <w:color w:val="000000" w:themeColor="text1"/>
              </w:rPr>
              <w:t>年度）</w:t>
            </w:r>
          </w:p>
          <w:p>
            <w:pPr>
              <w:pStyle w:val="0"/>
              <w:spacing w:line="360" w:lineRule="exact"/>
              <w:jc w:val="center"/>
              <w:rPr>
                <w:rFonts w:hint="default"/>
                <w:color w:val="000000" w:themeColor="text1"/>
              </w:rPr>
            </w:pPr>
            <w:r>
              <w:rPr>
                <w:rFonts w:hint="eastAsia"/>
                <w:color w:val="000000" w:themeColor="text1"/>
              </w:rPr>
              <w:t>累計</w:t>
            </w:r>
            <w:r>
              <w:rPr>
                <w:rFonts w:hint="eastAsia"/>
                <w:color w:val="000000" w:themeColor="text1"/>
              </w:rPr>
              <w:t>3,800</w:t>
            </w:r>
            <w:r>
              <w:rPr>
                <w:rFonts w:hint="eastAsia"/>
                <w:color w:val="000000" w:themeColor="text1"/>
              </w:rPr>
              <w:t>人</w:t>
            </w:r>
          </w:p>
        </w:tc>
      </w:tr>
    </w:tbl>
    <w:p>
      <w:pPr>
        <w:pStyle w:val="0"/>
        <w:autoSpaceDE w:val="0"/>
        <w:autoSpaceDN w:val="0"/>
        <w:adjustRightInd w:val="0"/>
        <w:jc w:val="left"/>
        <w:rPr>
          <w:rFonts w:hint="default"/>
        </w:rPr>
      </w:pPr>
      <w:bookmarkStart w:id="144" w:name="_Toc503474107"/>
      <w:bookmarkEnd w:id="144"/>
      <w:bookmarkStart w:id="145" w:name="_Toc503474108"/>
      <w:bookmarkEnd w:id="145"/>
      <w:bookmarkStart w:id="146" w:name="_Toc503474109"/>
      <w:bookmarkEnd w:id="146"/>
      <w:bookmarkStart w:id="147" w:name="_Toc503474110"/>
      <w:bookmarkEnd w:id="147"/>
      <w:bookmarkStart w:id="148" w:name="_Toc503474111"/>
      <w:bookmarkEnd w:id="148"/>
      <w:bookmarkStart w:id="149" w:name="_Toc503474112"/>
      <w:bookmarkEnd w:id="149"/>
      <w:bookmarkStart w:id="150" w:name="_Toc503474113"/>
      <w:bookmarkEnd w:id="150"/>
      <w:bookmarkStart w:id="151" w:name="_Toc503474114"/>
      <w:bookmarkEnd w:id="151"/>
      <w:bookmarkStart w:id="152" w:name="_Toc503474115"/>
      <w:bookmarkEnd w:id="152"/>
      <w:bookmarkStart w:id="153" w:name="_Toc503474116"/>
      <w:bookmarkEnd w:id="153"/>
      <w:bookmarkStart w:id="154" w:name="_Toc503474117"/>
      <w:bookmarkEnd w:id="154"/>
      <w:bookmarkStart w:id="155" w:name="_Toc503474118"/>
      <w:bookmarkEnd w:id="155"/>
      <w:bookmarkStart w:id="156" w:name="_Toc503474119"/>
      <w:bookmarkEnd w:id="156"/>
      <w:bookmarkStart w:id="157" w:name="_Toc503474120"/>
      <w:bookmarkEnd w:id="157"/>
      <w:bookmarkStart w:id="158" w:name="_Toc503474121"/>
      <w:bookmarkEnd w:id="158"/>
      <w:bookmarkStart w:id="159" w:name="_Toc503474122"/>
      <w:bookmarkEnd w:id="159"/>
      <w:bookmarkStart w:id="160" w:name="_Toc503474123"/>
      <w:bookmarkEnd w:id="160"/>
      <w:bookmarkStart w:id="161" w:name="_Toc503474124"/>
      <w:bookmarkEnd w:id="161"/>
      <w:bookmarkStart w:id="162" w:name="_Toc503474125"/>
      <w:bookmarkEnd w:id="162"/>
      <w:bookmarkStart w:id="163" w:name="_Toc503474126"/>
      <w:bookmarkEnd w:id="163"/>
      <w:bookmarkStart w:id="164" w:name="_Toc503474127"/>
      <w:bookmarkEnd w:id="164"/>
      <w:bookmarkStart w:id="165" w:name="_Toc503474128"/>
      <w:bookmarkEnd w:id="165"/>
      <w:bookmarkStart w:id="166" w:name="_Toc503474129"/>
      <w:bookmarkEnd w:id="166"/>
      <w:bookmarkStart w:id="167" w:name="_Toc503474130"/>
      <w:bookmarkEnd w:id="167"/>
      <w:bookmarkStart w:id="168" w:name="_Toc503474131"/>
      <w:bookmarkEnd w:id="168"/>
      <w:bookmarkStart w:id="169" w:name="_Toc503474132"/>
      <w:bookmarkEnd w:id="169"/>
      <w:bookmarkStart w:id="170" w:name="_Toc503474144"/>
      <w:bookmarkEnd w:id="170"/>
    </w:p>
    <w:p>
      <w:pPr>
        <w:pStyle w:val="0"/>
        <w:autoSpaceDE w:val="0"/>
        <w:autoSpaceDN w:val="0"/>
        <w:adjustRightInd w:val="0"/>
        <w:jc w:val="left"/>
        <w:rPr>
          <w:rFonts w:hint="default"/>
        </w:rPr>
      </w:pPr>
    </w:p>
    <w:p>
      <w:pPr>
        <w:pStyle w:val="0"/>
        <w:autoSpaceDE w:val="0"/>
        <w:autoSpaceDN w:val="0"/>
        <w:adjustRightInd w:val="0"/>
        <w:jc w:val="left"/>
        <w:rPr>
          <w:rFonts w:hint="default"/>
        </w:rPr>
      </w:pPr>
    </w:p>
    <w:p>
      <w:pPr>
        <w:pStyle w:val="0"/>
        <w:autoSpaceDE w:val="0"/>
        <w:autoSpaceDN w:val="0"/>
        <w:adjustRightInd w:val="0"/>
        <w:jc w:val="left"/>
        <w:rPr>
          <w:rFonts w:hint="default"/>
        </w:rPr>
        <w:sectPr>
          <w:headerReference r:id="rId36" w:type="even"/>
          <w:headerReference r:id="rId37" w:type="default"/>
          <w:headerReference r:id="rId35" w:type="first"/>
          <w:type w:val="nextColumn"/>
          <w:pgSz w:w="11906" w:h="16838"/>
          <w:pgMar w:top="1134" w:right="1021" w:bottom="1134" w:left="1134" w:header="284" w:footer="284" w:gutter="0"/>
          <w:cols w:space="720"/>
          <w:textDirection w:val="lrTb"/>
          <w:docGrid w:type="lines" w:linePitch="383" w:charSpace="55953"/>
        </w:sectPr>
      </w:pPr>
      <w:r>
        <w:rPr>
          <w:rFonts w:hint="eastAsia"/>
        </w:rPr>
        <w:br w:type="page"/>
      </w:r>
    </w:p>
    <w:p>
      <w:pPr>
        <w:pStyle w:val="0"/>
        <w:autoSpaceDE w:val="0"/>
        <w:autoSpaceDN w:val="0"/>
        <w:adjustRightInd w:val="0"/>
        <w:jc w:val="left"/>
        <w:rPr>
          <w:rFonts w:hint="eastAsia"/>
        </w:rPr>
      </w:pPr>
    </w:p>
    <w:p>
      <w:pPr>
        <w:pStyle w:val="0"/>
        <w:rPr>
          <w:rFonts w:hint="eastAsia" w:ascii="ＭＳ ゴシック" w:hAnsi="ＭＳ ゴシック" w:eastAsia="ＭＳ ゴシック"/>
          <w:u w:val="single" w:color="auto"/>
        </w:rPr>
      </w:pPr>
    </w:p>
    <w:p>
      <w:pPr>
        <w:pStyle w:val="0"/>
        <w:rPr>
          <w:rFonts w:hint="eastAsia" w:ascii="ＭＳ ゴシック" w:hAnsi="ＭＳ ゴシック" w:eastAsia="ＭＳ ゴシック"/>
          <w:u w:val="single" w:color="auto"/>
        </w:rPr>
      </w:pPr>
    </w:p>
    <w:p>
      <w:pPr>
        <w:pStyle w:val="0"/>
        <w:rPr>
          <w:rFonts w:hint="eastAsia"/>
          <w:sz w:val="18"/>
          <w:u w:val="single" w:color="auto"/>
        </w:rPr>
      </w:pPr>
    </w:p>
    <w:p>
      <w:pPr>
        <w:pStyle w:val="0"/>
        <w:jc w:val="left"/>
        <w:rPr>
          <w:rFonts w:hint="eastAsia" w:ascii="ＭＳ ゴシック" w:hAnsi="ＭＳ ゴシック" w:eastAsia="ＭＳ ゴシック"/>
          <w:sz w:val="48"/>
        </w:rPr>
      </w:pPr>
    </w:p>
    <w:p>
      <w:pPr>
        <w:pStyle w:val="0"/>
        <w:jc w:val="left"/>
        <w:rPr>
          <w:rFonts w:hint="eastAsia" w:ascii="ＭＳ ゴシック" w:hAnsi="ＭＳ ゴシック" w:eastAsia="ＭＳ ゴシック"/>
          <w:sz w:val="48"/>
        </w:rPr>
      </w:pPr>
    </w:p>
    <w:p>
      <w:pPr>
        <w:pStyle w:val="0"/>
        <w:jc w:val="left"/>
        <w:rPr>
          <w:rFonts w:hint="eastAsia" w:ascii="ＭＳ ゴシック" w:hAnsi="ＭＳ ゴシック" w:eastAsia="ＭＳ ゴシック"/>
          <w:sz w:val="48"/>
        </w:rPr>
      </w:pPr>
    </w:p>
    <w:p>
      <w:pPr>
        <w:pStyle w:val="0"/>
        <w:jc w:val="left"/>
        <w:rPr>
          <w:rFonts w:hint="eastAsia" w:ascii="ＭＳ ゴシック" w:hAnsi="ＭＳ ゴシック" w:eastAsia="ＭＳ ゴシック"/>
          <w:sz w:val="48"/>
        </w:rPr>
      </w:pPr>
    </w:p>
    <w:p>
      <w:pPr>
        <w:pStyle w:val="0"/>
        <w:jc w:val="center"/>
        <w:rPr>
          <w:rFonts w:hint="eastAsia" w:ascii="ＭＳ ゴシック" w:hAnsi="ＭＳ ゴシック" w:eastAsia="ＭＳ ゴシック"/>
          <w:sz w:val="48"/>
        </w:rPr>
      </w:pPr>
      <w:r>
        <w:rPr>
          <w:rFonts w:hint="eastAsia" w:ascii="ＭＳ ゴシック" w:hAnsi="ＭＳ ゴシック" w:eastAsia="ＭＳ ゴシック"/>
          <w:sz w:val="48"/>
        </w:rPr>
        <w:t>【資　料】</w:t>
      </w:r>
    </w:p>
    <w:p>
      <w:pPr>
        <w:pStyle w:val="0"/>
        <w:rPr>
          <w:rFonts w:hint="eastAsia" w:ascii="ＭＳ ゴシック" w:hAnsi="ＭＳ ゴシック" w:eastAsia="ＭＳ ゴシック"/>
          <w:sz w:val="48"/>
        </w:rPr>
      </w:pPr>
    </w:p>
    <w:p>
      <w:pPr>
        <w:pStyle w:val="0"/>
        <w:jc w:val="left"/>
        <w:rPr>
          <w:rFonts w:hint="eastAsia" w:ascii="ＭＳ ゴシック" w:hAnsi="ＭＳ ゴシック" w:eastAsia="ＭＳ ゴシック"/>
          <w:sz w:val="48"/>
        </w:rPr>
      </w:pPr>
    </w:p>
    <w:p>
      <w:pPr>
        <w:pStyle w:val="0"/>
        <w:jc w:val="left"/>
        <w:rPr>
          <w:rFonts w:hint="eastAsia" w:ascii="ＭＳ ゴシック" w:hAnsi="ＭＳ ゴシック" w:eastAsia="ＭＳ ゴシック"/>
          <w:sz w:val="48"/>
        </w:rPr>
      </w:pPr>
    </w:p>
    <w:p>
      <w:pPr>
        <w:pStyle w:val="0"/>
        <w:jc w:val="left"/>
        <w:rPr>
          <w:rFonts w:hint="eastAsia" w:ascii="ＭＳ ゴシック" w:hAnsi="ＭＳ ゴシック" w:eastAsia="ＭＳ ゴシック"/>
          <w:sz w:val="48"/>
        </w:rPr>
      </w:pPr>
    </w:p>
    <w:p>
      <w:pPr>
        <w:pStyle w:val="0"/>
        <w:jc w:val="left"/>
        <w:rPr>
          <w:rFonts w:hint="eastAsia" w:ascii="ＭＳ ゴシック" w:hAnsi="ＭＳ ゴシック" w:eastAsia="ＭＳ ゴシック"/>
          <w:sz w:val="48"/>
        </w:rPr>
      </w:pPr>
    </w:p>
    <w:p>
      <w:pPr>
        <w:pStyle w:val="0"/>
        <w:jc w:val="left"/>
        <w:rPr>
          <w:rFonts w:hint="eastAsia" w:ascii="ＭＳ ゴシック" w:hAnsi="ＭＳ ゴシック" w:eastAsia="ＭＳ ゴシック"/>
          <w:sz w:val="48"/>
        </w:rPr>
      </w:pPr>
    </w:p>
    <w:p>
      <w:pPr>
        <w:pStyle w:val="0"/>
        <w:jc w:val="left"/>
        <w:rPr>
          <w:rFonts w:hint="eastAsia" w:ascii="ＭＳ ゴシック" w:hAnsi="ＭＳ ゴシック" w:eastAsia="ＭＳ ゴシック"/>
          <w:sz w:val="48"/>
        </w:rPr>
      </w:pPr>
    </w:p>
    <w:p>
      <w:pPr>
        <w:pStyle w:val="0"/>
        <w:jc w:val="left"/>
        <w:rPr>
          <w:rFonts w:hint="eastAsia" w:ascii="ＭＳ ゴシック" w:hAnsi="ＭＳ ゴシック" w:eastAsia="ＭＳ ゴシック"/>
          <w:sz w:val="48"/>
        </w:rPr>
      </w:pPr>
    </w:p>
    <w:p>
      <w:pPr>
        <w:pStyle w:val="0"/>
        <w:jc w:val="left"/>
        <w:rPr>
          <w:rFonts w:hint="eastAsia" w:ascii="ＭＳ ゴシック" w:hAnsi="ＭＳ ゴシック" w:eastAsia="ＭＳ ゴシック"/>
          <w:sz w:val="48"/>
        </w:rPr>
      </w:pPr>
    </w:p>
    <w:p>
      <w:pPr>
        <w:pStyle w:val="0"/>
        <w:jc w:val="left"/>
        <w:rPr>
          <w:rFonts w:hint="eastAsia" w:ascii="ＭＳ ゴシック" w:hAnsi="ＭＳ ゴシック" w:eastAsia="ＭＳ ゴシック"/>
          <w:sz w:val="48"/>
        </w:rPr>
      </w:pPr>
    </w:p>
    <w:p>
      <w:pPr>
        <w:rPr>
          <w:rFonts w:hint="eastAsia"/>
          <w:color w:val="auto"/>
        </w:rPr>
        <w:sectPr>
          <w:headerReference r:id="rId39" w:type="even"/>
          <w:headerReference r:id="rId40" w:type="default"/>
          <w:footerReference r:id="rId42" w:type="even"/>
          <w:footerReference r:id="rId43" w:type="default"/>
          <w:headerReference r:id="rId38" w:type="first"/>
          <w:footerReference r:id="rId41" w:type="first"/>
          <w:type w:val="continuous"/>
          <w:pgSz w:w="11906" w:h="16838"/>
          <w:pgMar w:top="1134" w:right="1021" w:bottom="1134" w:left="1134" w:header="284" w:footer="284" w:gutter="0"/>
          <w:pgNumType w:start="92"/>
          <w:cols w:space="720"/>
          <w:textDirection w:val="lrTb"/>
          <w:docGrid w:type="lines" w:linePitch="428"/>
        </w:sectPr>
      </w:pPr>
    </w:p>
    <w:p>
      <w:pPr>
        <w:pStyle w:val="2"/>
        <w:rPr>
          <w:rFonts w:hint="eastAsia"/>
          <w:sz w:val="32"/>
        </w:rPr>
      </w:pPr>
      <w:r>
        <w:rPr>
          <w:rFonts w:hint="default"/>
          <w:color w:val="auto"/>
        </w:rPr>
        <w:br w:type="page"/>
      </w:r>
      <w:bookmarkStart w:id="171" w:name="_Toc503474106"/>
      <w:bookmarkEnd w:id="171"/>
      <w:r>
        <w:rPr>
          <w:rFonts w:hint="eastAsia"/>
          <w:sz w:val="32"/>
        </w:rPr>
        <w:t>資料１　静岡県障害者施策推進協議会条例</w:t>
      </w:r>
    </w:p>
    <w:p>
      <w:pPr>
        <w:pStyle w:val="0"/>
        <w:jc w:val="right"/>
        <w:rPr>
          <w:rFonts w:hint="eastAsia"/>
        </w:rPr>
      </w:pPr>
      <w:r>
        <w:rPr>
          <w:rFonts w:hint="eastAsia"/>
        </w:rPr>
        <w:t>昭和</w:t>
      </w:r>
      <w:r>
        <w:rPr>
          <w:rFonts w:hint="eastAsia"/>
        </w:rPr>
        <w:t>47</w:t>
      </w:r>
      <w:r>
        <w:rPr>
          <w:rFonts w:hint="eastAsia"/>
        </w:rPr>
        <w:t>年３月</w:t>
      </w:r>
      <w:r>
        <w:rPr>
          <w:rFonts w:hint="eastAsia"/>
        </w:rPr>
        <w:t>21</w:t>
      </w:r>
      <w:r>
        <w:rPr>
          <w:rFonts w:hint="eastAsia"/>
        </w:rPr>
        <w:t>日</w:t>
      </w:r>
    </w:p>
    <w:p>
      <w:pPr>
        <w:pStyle w:val="0"/>
        <w:jc w:val="right"/>
        <w:rPr>
          <w:rFonts w:hint="eastAsia"/>
        </w:rPr>
      </w:pPr>
      <w:r>
        <w:rPr>
          <w:rFonts w:hint="eastAsia"/>
        </w:rPr>
        <w:t>条例第</w:t>
      </w:r>
      <w:r>
        <w:rPr>
          <w:rFonts w:hint="eastAsia"/>
        </w:rPr>
        <w:t>16</w:t>
      </w:r>
      <w:r>
        <w:rPr>
          <w:rFonts w:hint="eastAsia"/>
        </w:rPr>
        <w:t>号</w:t>
      </w:r>
    </w:p>
    <w:p>
      <w:pPr>
        <w:pStyle w:val="0"/>
        <w:rPr>
          <w:rFonts w:hint="eastAsia"/>
        </w:rPr>
      </w:pPr>
      <w:r>
        <w:rPr>
          <w:rFonts w:hint="eastAsia"/>
        </w:rPr>
        <w:t>（趣旨）</w:t>
      </w:r>
    </w:p>
    <w:p>
      <w:pPr>
        <w:pStyle w:val="0"/>
        <w:ind w:left="240" w:hanging="240" w:hangingChars="100"/>
        <w:rPr>
          <w:rFonts w:hint="eastAsia"/>
        </w:rPr>
      </w:pPr>
      <w:r>
        <w:rPr>
          <w:rFonts w:hint="eastAsia"/>
        </w:rPr>
        <w:t>第１条　この条例は、障害者基本法（昭和</w:t>
      </w:r>
      <w:r>
        <w:rPr>
          <w:rFonts w:hint="eastAsia"/>
        </w:rPr>
        <w:t>45</w:t>
      </w:r>
      <w:r>
        <w:rPr>
          <w:rFonts w:hint="eastAsia"/>
        </w:rPr>
        <w:t>年法律第</w:t>
      </w:r>
      <w:r>
        <w:rPr>
          <w:rFonts w:hint="eastAsia"/>
        </w:rPr>
        <w:t>84</w:t>
      </w:r>
      <w:r>
        <w:rPr>
          <w:rFonts w:hint="eastAsia"/>
        </w:rPr>
        <w:t>号）第</w:t>
      </w:r>
      <w:r>
        <w:rPr>
          <w:rFonts w:hint="eastAsia"/>
        </w:rPr>
        <w:t>36</w:t>
      </w:r>
      <w:r>
        <w:rPr>
          <w:rFonts w:hint="eastAsia"/>
        </w:rPr>
        <w:t>条第</w:t>
      </w:r>
      <w:r>
        <w:rPr>
          <w:rFonts w:hint="eastAsia"/>
        </w:rPr>
        <w:t>3</w:t>
      </w:r>
      <w:r>
        <w:rPr>
          <w:rFonts w:hint="eastAsia"/>
        </w:rPr>
        <w:t>項の規定に基づき、静岡県障害者施策推進協議会（以下「協議会」という。）の組織及び運営に関し必要な事項を定めるものとする。</w:t>
      </w:r>
    </w:p>
    <w:p>
      <w:pPr>
        <w:pStyle w:val="0"/>
        <w:rPr>
          <w:rFonts w:hint="eastAsia"/>
        </w:rPr>
      </w:pPr>
      <w:r>
        <w:rPr>
          <w:rFonts w:hint="eastAsia"/>
        </w:rPr>
        <w:t>（委員）</w:t>
      </w:r>
    </w:p>
    <w:p>
      <w:pPr>
        <w:pStyle w:val="0"/>
        <w:rPr>
          <w:rFonts w:hint="eastAsia"/>
        </w:rPr>
      </w:pPr>
      <w:r>
        <w:rPr>
          <w:rFonts w:hint="eastAsia"/>
        </w:rPr>
        <w:t>第２条　協議会は、委員</w:t>
      </w:r>
      <w:r>
        <w:rPr>
          <w:rFonts w:hint="eastAsia"/>
        </w:rPr>
        <w:t>15</w:t>
      </w:r>
      <w:r>
        <w:rPr>
          <w:rFonts w:hint="eastAsia"/>
        </w:rPr>
        <w:t>人以内で組織する。</w:t>
      </w:r>
    </w:p>
    <w:p>
      <w:pPr>
        <w:pStyle w:val="0"/>
        <w:ind w:left="480" w:leftChars="100" w:hanging="240" w:hangingChars="100"/>
        <w:rPr>
          <w:rFonts w:hint="eastAsia"/>
        </w:rPr>
      </w:pPr>
      <w:r>
        <w:rPr>
          <w:rFonts w:hint="eastAsia"/>
        </w:rPr>
        <w:t>２　委員は、学識経験のある者、障害者及び障害者の福祉に関する事業に従事する者のうちから、知事が委嘱する。</w:t>
      </w:r>
    </w:p>
    <w:p>
      <w:pPr>
        <w:pStyle w:val="0"/>
        <w:ind w:firstLine="240" w:firstLineChars="100"/>
        <w:rPr>
          <w:rFonts w:hint="eastAsia"/>
        </w:rPr>
      </w:pPr>
      <w:r>
        <w:rPr>
          <w:rFonts w:hint="eastAsia"/>
        </w:rPr>
        <w:t>３　委員の任期は、３年とする。ただし、補欠の委員の任期は、前任者の残任期間とする。</w:t>
      </w:r>
    </w:p>
    <w:p>
      <w:pPr>
        <w:pStyle w:val="0"/>
        <w:rPr>
          <w:rFonts w:hint="eastAsia"/>
        </w:rPr>
      </w:pPr>
      <w:r>
        <w:rPr>
          <w:rFonts w:hint="eastAsia"/>
        </w:rPr>
        <w:t>（会長）</w:t>
      </w:r>
    </w:p>
    <w:p>
      <w:pPr>
        <w:pStyle w:val="0"/>
        <w:rPr>
          <w:rFonts w:hint="eastAsia"/>
        </w:rPr>
      </w:pPr>
      <w:r>
        <w:rPr>
          <w:rFonts w:hint="eastAsia"/>
        </w:rPr>
        <w:t>第３条　協議会に会長を置き、委員の互選によつてこれを定める。</w:t>
      </w:r>
    </w:p>
    <w:p>
      <w:pPr>
        <w:pStyle w:val="0"/>
        <w:ind w:firstLine="240" w:firstLineChars="100"/>
        <w:rPr>
          <w:rFonts w:hint="eastAsia"/>
        </w:rPr>
      </w:pPr>
      <w:r>
        <w:rPr>
          <w:rFonts w:hint="eastAsia"/>
        </w:rPr>
        <w:t>２　会長は、会務を総理する。</w:t>
      </w:r>
    </w:p>
    <w:p>
      <w:pPr>
        <w:pStyle w:val="0"/>
        <w:ind w:firstLine="240" w:firstLineChars="100"/>
        <w:rPr>
          <w:rFonts w:hint="eastAsia"/>
        </w:rPr>
      </w:pPr>
      <w:r>
        <w:rPr>
          <w:rFonts w:hint="eastAsia"/>
        </w:rPr>
        <w:t>３　会長に事故があるときは、会長があらかじめ指名する委員が、その職務を代理する。</w:t>
      </w:r>
    </w:p>
    <w:p>
      <w:pPr>
        <w:pStyle w:val="0"/>
        <w:rPr>
          <w:rFonts w:hint="eastAsia"/>
        </w:rPr>
      </w:pPr>
      <w:r>
        <w:rPr>
          <w:rFonts w:hint="eastAsia"/>
        </w:rPr>
        <w:t>（会議）</w:t>
      </w:r>
    </w:p>
    <w:p>
      <w:pPr>
        <w:pStyle w:val="0"/>
        <w:rPr>
          <w:rFonts w:hint="eastAsia"/>
        </w:rPr>
      </w:pPr>
      <w:r>
        <w:rPr>
          <w:rFonts w:hint="eastAsia"/>
        </w:rPr>
        <w:t>第４条　協議会は、会長が招集する。</w:t>
      </w:r>
    </w:p>
    <w:p>
      <w:pPr>
        <w:pStyle w:val="0"/>
        <w:rPr>
          <w:rFonts w:hint="eastAsia"/>
        </w:rPr>
      </w:pPr>
      <w:r>
        <w:rPr>
          <w:rFonts w:hint="eastAsia"/>
        </w:rPr>
        <w:t>２　協議会は、委員の過半数が出席しなければ、会議を開き、議決することができない。</w:t>
      </w:r>
    </w:p>
    <w:p>
      <w:pPr>
        <w:pStyle w:val="0"/>
        <w:ind w:left="240" w:hanging="240" w:hangingChars="100"/>
        <w:rPr>
          <w:rFonts w:hint="eastAsia"/>
        </w:rPr>
      </w:pPr>
      <w:r>
        <w:rPr>
          <w:rFonts w:hint="eastAsia"/>
        </w:rPr>
        <w:t>３　協議会の議事は、出席委員の過半数で決し、可否同数のときは、会長の決するところによる。</w:t>
      </w:r>
    </w:p>
    <w:p>
      <w:pPr>
        <w:pStyle w:val="0"/>
        <w:rPr>
          <w:rFonts w:hint="eastAsia"/>
        </w:rPr>
      </w:pPr>
      <w:r>
        <w:rPr>
          <w:rFonts w:hint="eastAsia"/>
        </w:rPr>
        <w:t>（専門委員）</w:t>
      </w:r>
    </w:p>
    <w:p>
      <w:pPr>
        <w:pStyle w:val="0"/>
        <w:ind w:left="240" w:hanging="240" w:hangingChars="100"/>
        <w:rPr>
          <w:rFonts w:hint="eastAsia"/>
        </w:rPr>
      </w:pPr>
      <w:r>
        <w:rPr>
          <w:rFonts w:hint="eastAsia"/>
        </w:rPr>
        <w:t>第５条　協議会に、専門の事項を調査させるため必要があるときは、専門委員を置くことができる。</w:t>
      </w:r>
    </w:p>
    <w:p>
      <w:pPr>
        <w:pStyle w:val="0"/>
        <w:ind w:left="240" w:hanging="240" w:hangingChars="100"/>
        <w:rPr>
          <w:rFonts w:hint="eastAsia"/>
        </w:rPr>
      </w:pPr>
      <w:r>
        <w:rPr>
          <w:rFonts w:hint="eastAsia"/>
        </w:rPr>
        <w:t>２　専門委員は、学識経験のある者、障害者及び障害者の福祉に関する事業に従事する者のうちから、知事が任命し、又は委嘱する。</w:t>
      </w:r>
    </w:p>
    <w:p>
      <w:pPr>
        <w:pStyle w:val="0"/>
        <w:rPr>
          <w:rFonts w:hint="eastAsia"/>
        </w:rPr>
      </w:pPr>
      <w:r>
        <w:rPr>
          <w:rFonts w:hint="eastAsia"/>
        </w:rPr>
        <w:t>３　専門委員は、当該専門の事項に関する調査が終了したときは、解任されるものとする。</w:t>
      </w:r>
    </w:p>
    <w:p>
      <w:pPr>
        <w:pStyle w:val="0"/>
        <w:rPr>
          <w:rFonts w:hint="eastAsia"/>
        </w:rPr>
      </w:pPr>
      <w:r>
        <w:rPr>
          <w:rFonts w:hint="eastAsia"/>
        </w:rPr>
        <w:t>（幹事）</w:t>
      </w:r>
    </w:p>
    <w:p>
      <w:pPr>
        <w:pStyle w:val="0"/>
        <w:rPr>
          <w:rFonts w:hint="eastAsia"/>
        </w:rPr>
      </w:pPr>
      <w:r>
        <w:rPr>
          <w:rFonts w:hint="eastAsia"/>
        </w:rPr>
        <w:t>第６条　協議会に、幹事若干人を置く。</w:t>
      </w:r>
    </w:p>
    <w:p>
      <w:pPr>
        <w:pStyle w:val="0"/>
        <w:rPr>
          <w:rFonts w:hint="eastAsia"/>
        </w:rPr>
      </w:pPr>
      <w:r>
        <w:rPr>
          <w:rFonts w:hint="eastAsia"/>
        </w:rPr>
        <w:t>２　幹事は、関係行政機関の職員のうちから、知事が任命し、又は委嘱する。</w:t>
      </w:r>
    </w:p>
    <w:p>
      <w:pPr>
        <w:pStyle w:val="0"/>
        <w:rPr>
          <w:rFonts w:hint="eastAsia"/>
        </w:rPr>
      </w:pPr>
      <w:r>
        <w:rPr>
          <w:rFonts w:hint="eastAsia"/>
        </w:rPr>
        <w:t>３　幹事は、協議会の事務について、委員を補佐する。</w:t>
      </w:r>
    </w:p>
    <w:p>
      <w:pPr>
        <w:pStyle w:val="0"/>
        <w:rPr>
          <w:rFonts w:hint="eastAsia"/>
        </w:rPr>
      </w:pPr>
      <w:r>
        <w:rPr>
          <w:rFonts w:hint="eastAsia"/>
        </w:rPr>
        <w:t>（庶務）</w:t>
      </w:r>
    </w:p>
    <w:p>
      <w:pPr>
        <w:pStyle w:val="0"/>
        <w:rPr>
          <w:rFonts w:hint="eastAsia"/>
        </w:rPr>
      </w:pPr>
      <w:r>
        <w:rPr>
          <w:rFonts w:hint="eastAsia"/>
        </w:rPr>
        <w:t>第７条　協議会の庶務は、健康福祉部において処理する。</w:t>
      </w:r>
    </w:p>
    <w:p>
      <w:pPr>
        <w:pStyle w:val="0"/>
        <w:rPr>
          <w:rFonts w:hint="eastAsia"/>
        </w:rPr>
      </w:pPr>
      <w:r>
        <w:rPr>
          <w:rFonts w:hint="eastAsia"/>
        </w:rPr>
        <w:t>（雑則）</w:t>
      </w:r>
    </w:p>
    <w:p>
      <w:pPr>
        <w:pStyle w:val="0"/>
        <w:rPr>
          <w:rFonts w:hint="eastAsia"/>
        </w:rPr>
      </w:pPr>
      <w:r>
        <w:rPr>
          <w:rFonts w:hint="eastAsia"/>
        </w:rPr>
        <w:t>第８条　この条例に定めるもののほか、協議会の運営に関し必要な事項は、協議会が定める。</w:t>
      </w:r>
    </w:p>
    <w:p>
      <w:pPr>
        <w:pStyle w:val="0"/>
        <w:rPr>
          <w:rFonts w:hint="eastAsia"/>
        </w:rPr>
      </w:pPr>
    </w:p>
    <w:p>
      <w:pPr>
        <w:pStyle w:val="0"/>
        <w:rPr>
          <w:rFonts w:hint="eastAsia"/>
        </w:rPr>
      </w:pPr>
      <w:r>
        <w:rPr>
          <w:rFonts w:hint="eastAsia"/>
        </w:rPr>
        <w:t>附　則（略）</w:t>
      </w:r>
    </w:p>
    <w:p>
      <w:pPr>
        <w:rPr>
          <w:rFonts w:hint="default"/>
          <w:color w:val="auto"/>
        </w:rPr>
        <w:sectPr>
          <w:type w:val="continuous"/>
          <w:pgSz w:w="11906" w:h="16838"/>
          <w:pgMar w:top="1134" w:right="1021" w:bottom="1134" w:left="1134" w:header="284" w:footer="284" w:gutter="0"/>
          <w:cols w:space="720"/>
          <w:textDirection w:val="lrTb"/>
          <w:docGrid w:type="lines" w:linePitch="364" w:charSpace="55953"/>
        </w:sectPr>
      </w:pPr>
    </w:p>
    <w:p>
      <w:pPr>
        <w:pStyle w:val="2"/>
        <w:rPr>
          <w:rFonts w:hint="eastAsia"/>
          <w:color w:val="auto"/>
          <w:sz w:val="32"/>
        </w:rPr>
      </w:pPr>
      <w:r>
        <w:rPr>
          <w:rFonts w:hint="eastAsia"/>
          <w:color w:val="auto"/>
          <w:sz w:val="32"/>
        </w:rPr>
        <w:t>資料２　静岡県障害者施策推進協議会委員名簿</w:t>
      </w:r>
    </w:p>
    <w:tbl>
      <w:tblPr>
        <w:tblStyle w:val="11"/>
        <w:tblW w:w="988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Look w:firstRow="1" w:lastRow="1" w:firstColumn="1" w:lastColumn="1" w:noHBand="0" w:noVBand="0" w:val="01E0"/>
      </w:tblPr>
      <w:tblGrid>
        <w:gridCol w:w="3369"/>
        <w:gridCol w:w="6520"/>
      </w:tblGrid>
      <w:tr>
        <w:trPr>
          <w:trHeight w:val="753"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widowControl w:val="0"/>
              <w:jc w:val="center"/>
              <w:rPr>
                <w:rFonts w:hint="eastAsia"/>
                <w:color w:val="auto"/>
              </w:rPr>
            </w:pPr>
            <w:r>
              <w:rPr>
                <w:rFonts w:hint="eastAsia"/>
                <w:color w:val="auto"/>
              </w:rPr>
              <w:t>氏　名</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widowControl w:val="0"/>
              <w:jc w:val="center"/>
              <w:rPr>
                <w:rFonts w:hint="eastAsia"/>
                <w:color w:val="auto"/>
              </w:rPr>
            </w:pPr>
            <w:r>
              <w:rPr>
                <w:rFonts w:hint="eastAsia"/>
                <w:color w:val="auto"/>
              </w:rPr>
              <w:t>所属名・役職名</w:t>
            </w:r>
          </w:p>
        </w:tc>
      </w:tr>
      <w:tr>
        <w:trPr>
          <w:trHeight w:val="754"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池谷　修</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221" w:leftChars="92" w:firstLineChars="0"/>
              <w:jc w:val="left"/>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静岡県知的障害者福祉協会会長</w:t>
            </w:r>
          </w:p>
        </w:tc>
      </w:tr>
      <w:tr>
        <w:trPr>
          <w:trHeight w:val="753"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岩瀬　輝美</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221" w:leftChars="92" w:firstLineChars="0"/>
              <w:jc w:val="left"/>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静岡県身体障害者福祉会会長</w:t>
            </w:r>
          </w:p>
        </w:tc>
      </w:tr>
      <w:tr>
        <w:trPr>
          <w:trHeight w:val="754"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大石　明利</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221" w:leftChars="92" w:firstLineChars="0"/>
              <w:jc w:val="left"/>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前東海大学短期大学部児童教育学科教授</w:t>
            </w:r>
          </w:p>
        </w:tc>
      </w:tr>
      <w:tr>
        <w:trPr>
          <w:trHeight w:val="753"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小倉　健太郎</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221" w:leftChars="92" w:firstLineChars="0"/>
              <w:jc w:val="left"/>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静岡県聴覚障害者事務局長</w:t>
            </w:r>
          </w:p>
        </w:tc>
      </w:tr>
      <w:tr>
        <w:trPr>
          <w:trHeight w:val="754"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加藤　弘江</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221" w:leftChars="92" w:firstLineChars="0"/>
              <w:jc w:val="left"/>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静岡県精神保健福祉会連合会常務理事</w:t>
            </w:r>
          </w:p>
        </w:tc>
      </w:tr>
      <w:tr>
        <w:trPr>
          <w:trHeight w:val="753"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紅林　照代</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221" w:leftChars="92" w:firstLineChars="0"/>
              <w:jc w:val="left"/>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静岡県難病団体連絡協議会理事</w:t>
            </w:r>
          </w:p>
        </w:tc>
      </w:tr>
      <w:tr>
        <w:trPr>
          <w:trHeight w:val="754"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篠原　照代</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221" w:leftChars="92" w:firstLineChars="0"/>
              <w:jc w:val="left"/>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静岡県自閉症協会事務局</w:t>
            </w:r>
          </w:p>
        </w:tc>
      </w:tr>
      <w:tr>
        <w:trPr>
          <w:trHeight w:val="753"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立花　明彦</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221" w:leftChars="92" w:firstLineChars="0"/>
              <w:jc w:val="left"/>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静岡県立短期大学部部長・教授</w:t>
            </w:r>
          </w:p>
        </w:tc>
      </w:tr>
      <w:tr>
        <w:trPr>
          <w:trHeight w:val="754"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西尾　知世</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221" w:leftChars="92" w:firstLineChars="0"/>
              <w:jc w:val="left"/>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酒井・根木法律事務所弁護士</w:t>
            </w:r>
          </w:p>
        </w:tc>
      </w:tr>
      <w:tr>
        <w:trPr>
          <w:trHeight w:val="753"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増田　樹郎</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221" w:leftChars="92" w:firstLineChars="0"/>
              <w:jc w:val="left"/>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sz w:val="24"/>
              </w:rPr>
              <w:t>静岡福祉大学副学長･教授</w:t>
            </w:r>
            <w:r>
              <w:rPr>
                <w:rFonts w:hint="default" w:ascii="ＭＳ 明朝" w:hAnsi="ＭＳ 明朝" w:eastAsia="ＭＳ 明朝"/>
                <w:b w:val="0"/>
                <w:i w:val="0"/>
                <w:smallCaps w:val="0"/>
                <w:color w:val="auto"/>
                <w:sz w:val="24"/>
              </w:rPr>
              <w:br w:type="textWrapping" w:clear="none"/>
            </w:r>
            <w:r>
              <w:rPr>
                <w:rFonts w:hint="default" w:ascii="ＭＳ 明朝" w:hAnsi="ＭＳ 明朝" w:eastAsia="ＭＳ 明朝"/>
                <w:b w:val="0"/>
                <w:i w:val="0"/>
                <w:smallCaps w:val="0"/>
                <w:color w:val="auto"/>
                <w:sz w:val="24"/>
              </w:rPr>
              <w:t>愛知教育大学名誉教授</w:t>
            </w:r>
          </w:p>
        </w:tc>
      </w:tr>
      <w:tr>
        <w:trPr>
          <w:trHeight w:val="754"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松永　憲之</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221" w:leftChars="92" w:firstLineChars="0"/>
              <w:jc w:val="left"/>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静岡県経営者協会事務局長</w:t>
            </w:r>
          </w:p>
        </w:tc>
      </w:tr>
      <w:tr>
        <w:trPr>
          <w:trHeight w:val="753"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三浦　一也</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221" w:leftChars="92" w:firstLineChars="0"/>
              <w:jc w:val="left"/>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医療法人好生会小笠病院理事長</w:t>
            </w:r>
          </w:p>
        </w:tc>
      </w:tr>
      <w:tr>
        <w:trPr>
          <w:trHeight w:val="754" w:hRule="atLeast"/>
        </w:trPr>
        <w:tc>
          <w:tcPr>
            <w:tcW w:w="33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三輪　浜子</w:t>
            </w:r>
          </w:p>
        </w:tc>
        <w:tc>
          <w:tcPr>
            <w:tcW w:w="652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221" w:leftChars="92" w:firstLineChars="0"/>
              <w:jc w:val="left"/>
              <w:rPr>
                <w:rFonts w:hint="default" w:ascii="ＭＳ 明朝" w:hAnsi="ＭＳ 明朝" w:eastAsia="ＭＳ 明朝"/>
                <w:b w:val="0"/>
                <w:i w:val="0"/>
                <w:smallCaps w:val="0"/>
                <w:color w:val="auto"/>
                <w:sz w:val="24"/>
              </w:rPr>
            </w:pPr>
            <w:r>
              <w:rPr>
                <w:rFonts w:hint="default" w:ascii="ＭＳ 明朝" w:hAnsi="ＭＳ 明朝" w:eastAsia="ＭＳ 明朝"/>
                <w:b w:val="0"/>
                <w:i w:val="0"/>
                <w:smallCaps w:val="0"/>
                <w:color w:val="auto"/>
              </w:rPr>
              <w:t>静岡県作業所連合会・わ理事長</w:t>
            </w:r>
          </w:p>
        </w:tc>
      </w:tr>
    </w:tbl>
    <w:p>
      <w:pPr>
        <w:pStyle w:val="0"/>
        <w:widowControl w:val="1"/>
        <w:kinsoku w:val="0"/>
        <w:autoSpaceDE w:val="0"/>
        <w:autoSpaceDN w:val="0"/>
        <w:jc w:val="right"/>
        <w:outlineLvl w:val="1"/>
        <w:rPr>
          <w:rFonts w:hint="eastAsia"/>
          <w:color w:val="auto"/>
        </w:rPr>
      </w:pPr>
      <w:r>
        <w:rPr>
          <w:rFonts w:hint="eastAsia"/>
          <w:color w:val="auto"/>
        </w:rPr>
        <w:t>（任期：</w:t>
      </w:r>
      <w:r>
        <w:rPr>
          <w:rFonts w:hint="eastAsia"/>
          <w:color w:val="auto"/>
        </w:rPr>
        <w:t>2021</w:t>
      </w:r>
      <w:r>
        <w:rPr>
          <w:rFonts w:hint="eastAsia"/>
          <w:color w:val="auto"/>
        </w:rPr>
        <w:t>年７月１日から</w:t>
      </w:r>
      <w:r>
        <w:rPr>
          <w:rFonts w:hint="eastAsia"/>
          <w:color w:val="auto"/>
        </w:rPr>
        <w:t>2024</w:t>
      </w:r>
      <w:r>
        <w:rPr>
          <w:rFonts w:hint="eastAsia"/>
          <w:color w:val="auto"/>
        </w:rPr>
        <w:t>年６月</w:t>
      </w:r>
      <w:r>
        <w:rPr>
          <w:rFonts w:hint="eastAsia"/>
          <w:color w:val="auto"/>
        </w:rPr>
        <w:t>30</w:t>
      </w:r>
      <w:r>
        <w:rPr>
          <w:rFonts w:hint="eastAsia"/>
          <w:color w:val="auto"/>
        </w:rPr>
        <w:t>日まで）</w:t>
      </w:r>
    </w:p>
    <w:p>
      <w:pPr>
        <w:rPr>
          <w:rFonts w:hint="eastAsia"/>
          <w:color w:val="auto"/>
        </w:rPr>
        <w:sectPr>
          <w:pgSz w:w="11906" w:h="16838"/>
          <w:pgMar w:top="1134" w:right="1021" w:bottom="1134" w:left="1134" w:header="284" w:footer="284" w:gutter="0"/>
          <w:cols w:space="720"/>
          <w:textDirection w:val="lrTb"/>
          <w:docGrid w:type="lines" w:linePitch="364" w:charSpace="55953"/>
        </w:sectPr>
      </w:pPr>
    </w:p>
    <w:p>
      <w:pPr>
        <w:pStyle w:val="2"/>
        <w:rPr>
          <w:rFonts w:hint="eastAsia"/>
          <w:sz w:val="32"/>
        </w:rPr>
      </w:pPr>
      <w:r>
        <w:rPr>
          <w:rFonts w:hint="eastAsia"/>
          <w:sz w:val="32"/>
        </w:rPr>
        <w:t>資料３　静岡県障害者計画等策定・推進協議会設置要綱</w:t>
      </w:r>
    </w:p>
    <w:p>
      <w:pPr>
        <w:pStyle w:val="0"/>
        <w:widowControl w:val="1"/>
        <w:kinsoku w:val="0"/>
        <w:autoSpaceDE w:val="0"/>
        <w:autoSpaceDN w:val="0"/>
        <w:jc w:val="left"/>
        <w:outlineLvl w:val="1"/>
        <w:rPr>
          <w:rFonts w:hint="eastAsia"/>
        </w:rPr>
      </w:pPr>
      <w:r>
        <w:rPr>
          <w:rFonts w:hint="eastAsia"/>
        </w:rPr>
        <w:t>（目的）</w:t>
      </w:r>
    </w:p>
    <w:p>
      <w:pPr>
        <w:pStyle w:val="0"/>
        <w:widowControl w:val="1"/>
        <w:kinsoku w:val="0"/>
        <w:autoSpaceDE w:val="0"/>
        <w:autoSpaceDN w:val="0"/>
        <w:ind w:left="240" w:hanging="240" w:hangingChars="100"/>
        <w:jc w:val="left"/>
        <w:outlineLvl w:val="1"/>
        <w:rPr>
          <w:rFonts w:hint="eastAsia"/>
        </w:rPr>
      </w:pPr>
      <w:r>
        <w:rPr>
          <w:rFonts w:hint="eastAsia"/>
        </w:rPr>
        <w:t>第１条　障害者基本法及び障害者の日常生活及び社会生活を総合的に支援するための法律の規定を踏まえ、障害者施策を総合的に推進するため、静岡県障害者計画等策定・推進協議会（以下「協議会」という｡</w:t>
      </w:r>
      <w:r>
        <w:rPr>
          <w:rFonts w:hint="eastAsia"/>
        </w:rPr>
        <w:t>)</w:t>
      </w:r>
      <w:r>
        <w:rPr>
          <w:rFonts w:hint="eastAsia"/>
        </w:rPr>
        <w:t>を設置する。</w:t>
      </w:r>
    </w:p>
    <w:p>
      <w:pPr>
        <w:pStyle w:val="0"/>
        <w:widowControl w:val="1"/>
        <w:kinsoku w:val="0"/>
        <w:autoSpaceDE w:val="0"/>
        <w:autoSpaceDN w:val="0"/>
        <w:jc w:val="left"/>
        <w:outlineLvl w:val="1"/>
        <w:rPr>
          <w:rFonts w:hint="eastAsia"/>
        </w:rPr>
      </w:pPr>
      <w:r>
        <w:rPr>
          <w:rFonts w:hint="eastAsia"/>
        </w:rPr>
        <w:t>（所掌事項）</w:t>
      </w:r>
    </w:p>
    <w:p>
      <w:pPr>
        <w:pStyle w:val="0"/>
        <w:widowControl w:val="1"/>
        <w:kinsoku w:val="0"/>
        <w:autoSpaceDE w:val="0"/>
        <w:autoSpaceDN w:val="0"/>
        <w:jc w:val="left"/>
        <w:outlineLvl w:val="1"/>
        <w:rPr>
          <w:rFonts w:hint="eastAsia"/>
        </w:rPr>
      </w:pPr>
      <w:r>
        <w:rPr>
          <w:rFonts w:hint="eastAsia"/>
        </w:rPr>
        <w:t>第２条　協議会は、次の各号に掲げる事項を所掌する。</w:t>
      </w:r>
    </w:p>
    <w:p>
      <w:pPr>
        <w:pStyle w:val="0"/>
        <w:widowControl w:val="1"/>
        <w:kinsoku w:val="0"/>
        <w:autoSpaceDE w:val="0"/>
        <w:autoSpaceDN w:val="0"/>
        <w:jc w:val="left"/>
        <w:outlineLvl w:val="1"/>
        <w:rPr>
          <w:rFonts w:hint="eastAsia"/>
        </w:rPr>
      </w:pPr>
      <w:r>
        <w:rPr>
          <w:rFonts w:hint="eastAsia"/>
        </w:rPr>
        <w:t>（１）障害者施策に係る総合的な展開の検討・調整に関すること</w:t>
      </w:r>
      <w:r>
        <w:rPr>
          <w:rFonts w:hint="eastAsia"/>
        </w:rPr>
        <w:t xml:space="preserve"> </w:t>
      </w:r>
    </w:p>
    <w:p>
      <w:pPr>
        <w:pStyle w:val="0"/>
        <w:widowControl w:val="1"/>
        <w:kinsoku w:val="0"/>
        <w:autoSpaceDE w:val="0"/>
        <w:autoSpaceDN w:val="0"/>
        <w:jc w:val="left"/>
        <w:outlineLvl w:val="1"/>
        <w:rPr>
          <w:rFonts w:hint="eastAsia"/>
        </w:rPr>
      </w:pPr>
      <w:r>
        <w:rPr>
          <w:rFonts w:hint="eastAsia"/>
        </w:rPr>
        <w:t>（２）静岡県障害者計画及び静岡県障害福祉計画の策定及び推進に関すること</w:t>
      </w:r>
    </w:p>
    <w:p>
      <w:pPr>
        <w:pStyle w:val="0"/>
        <w:widowControl w:val="1"/>
        <w:kinsoku w:val="0"/>
        <w:autoSpaceDE w:val="0"/>
        <w:autoSpaceDN w:val="0"/>
        <w:jc w:val="left"/>
        <w:outlineLvl w:val="1"/>
        <w:rPr>
          <w:rFonts w:hint="eastAsia"/>
        </w:rPr>
      </w:pPr>
      <w:r>
        <w:rPr>
          <w:rFonts w:hint="eastAsia"/>
        </w:rPr>
        <w:t>（３）市町の障害者計画及び障害福祉計画の策定及び推進の支援に関すること</w:t>
      </w:r>
    </w:p>
    <w:p>
      <w:pPr>
        <w:pStyle w:val="0"/>
        <w:widowControl w:val="1"/>
        <w:kinsoku w:val="0"/>
        <w:autoSpaceDE w:val="0"/>
        <w:autoSpaceDN w:val="0"/>
        <w:jc w:val="left"/>
        <w:outlineLvl w:val="1"/>
        <w:rPr>
          <w:rFonts w:hint="eastAsia"/>
        </w:rPr>
      </w:pPr>
      <w:r>
        <w:rPr>
          <w:rFonts w:hint="eastAsia"/>
        </w:rPr>
        <w:t>（４）その他障害者施策について必要な事項</w:t>
      </w:r>
    </w:p>
    <w:p>
      <w:pPr>
        <w:pStyle w:val="0"/>
        <w:widowControl w:val="1"/>
        <w:kinsoku w:val="0"/>
        <w:autoSpaceDE w:val="0"/>
        <w:autoSpaceDN w:val="0"/>
        <w:jc w:val="left"/>
        <w:outlineLvl w:val="1"/>
        <w:rPr>
          <w:rFonts w:hint="eastAsia"/>
        </w:rPr>
      </w:pPr>
      <w:r>
        <w:rPr>
          <w:rFonts w:hint="eastAsia"/>
        </w:rPr>
        <w:t>（構成）</w:t>
      </w:r>
    </w:p>
    <w:p>
      <w:pPr>
        <w:pStyle w:val="0"/>
        <w:widowControl w:val="1"/>
        <w:kinsoku w:val="0"/>
        <w:autoSpaceDE w:val="0"/>
        <w:autoSpaceDN w:val="0"/>
        <w:jc w:val="left"/>
        <w:outlineLvl w:val="1"/>
        <w:rPr>
          <w:rFonts w:hint="eastAsia"/>
        </w:rPr>
      </w:pPr>
      <w:r>
        <w:rPr>
          <w:rFonts w:hint="eastAsia"/>
        </w:rPr>
        <w:t>第３条　協議会は、会長、副会長及び委員をもって組織する。</w:t>
      </w:r>
    </w:p>
    <w:p>
      <w:pPr>
        <w:pStyle w:val="0"/>
        <w:widowControl w:val="1"/>
        <w:kinsoku w:val="0"/>
        <w:autoSpaceDE w:val="0"/>
        <w:autoSpaceDN w:val="0"/>
        <w:ind w:left="480" w:leftChars="100" w:hanging="240" w:hangingChars="100"/>
        <w:jc w:val="left"/>
        <w:outlineLvl w:val="1"/>
        <w:rPr>
          <w:rFonts w:hint="eastAsia"/>
        </w:rPr>
      </w:pPr>
      <w:r>
        <w:rPr>
          <w:rFonts w:hint="eastAsia"/>
        </w:rPr>
        <w:t>２　会長は健康福祉部長の職にある者、副会長は健康福祉部障害者支援局長の職にある</w:t>
      </w:r>
      <w:r>
        <w:rPr>
          <w:rFonts w:hint="default"/>
        </w:rPr>
        <w:br w:type="textWrapping" w:clear="none"/>
      </w:r>
      <w:r>
        <w:rPr>
          <w:rFonts w:hint="eastAsia"/>
        </w:rPr>
        <w:t>者、委員は別表に掲げる職にある者をもって充てる。</w:t>
      </w:r>
    </w:p>
    <w:p>
      <w:pPr>
        <w:pStyle w:val="0"/>
        <w:widowControl w:val="1"/>
        <w:kinsoku w:val="0"/>
        <w:autoSpaceDE w:val="0"/>
        <w:autoSpaceDN w:val="0"/>
        <w:ind w:left="240" w:leftChars="100"/>
        <w:jc w:val="left"/>
        <w:outlineLvl w:val="1"/>
        <w:rPr>
          <w:rFonts w:hint="eastAsia"/>
        </w:rPr>
      </w:pPr>
      <w:r>
        <w:rPr>
          <w:rFonts w:hint="eastAsia"/>
        </w:rPr>
        <w:t>３　会長は、協議会の事務を掌理する。</w:t>
      </w:r>
    </w:p>
    <w:p>
      <w:pPr>
        <w:pStyle w:val="0"/>
        <w:widowControl w:val="1"/>
        <w:kinsoku w:val="0"/>
        <w:autoSpaceDE w:val="0"/>
        <w:autoSpaceDN w:val="0"/>
        <w:ind w:left="240" w:leftChars="100"/>
        <w:jc w:val="left"/>
        <w:outlineLvl w:val="1"/>
        <w:rPr>
          <w:rFonts w:hint="eastAsia"/>
        </w:rPr>
      </w:pPr>
      <w:r>
        <w:rPr>
          <w:rFonts w:hint="eastAsia"/>
        </w:rPr>
        <w:t>４　会長は、必要があると認めるときは、委員を追加することができる。</w:t>
      </w:r>
    </w:p>
    <w:p>
      <w:pPr>
        <w:pStyle w:val="0"/>
        <w:widowControl w:val="1"/>
        <w:kinsoku w:val="0"/>
        <w:autoSpaceDE w:val="0"/>
        <w:autoSpaceDN w:val="0"/>
        <w:ind w:left="480" w:leftChars="100" w:hanging="240" w:hangingChars="100"/>
        <w:jc w:val="left"/>
        <w:outlineLvl w:val="1"/>
        <w:rPr>
          <w:rFonts w:hint="eastAsia"/>
        </w:rPr>
      </w:pPr>
      <w:r>
        <w:rPr>
          <w:rFonts w:hint="eastAsia"/>
        </w:rPr>
        <w:t>５　副会長は、会長を補佐し、会長に事故があるとき、又は会長が欠けたときは、その職務を代行する。</w:t>
      </w:r>
    </w:p>
    <w:p>
      <w:pPr>
        <w:pStyle w:val="0"/>
        <w:widowControl w:val="1"/>
        <w:kinsoku w:val="0"/>
        <w:autoSpaceDE w:val="0"/>
        <w:autoSpaceDN w:val="0"/>
        <w:jc w:val="left"/>
        <w:outlineLvl w:val="1"/>
        <w:rPr>
          <w:rFonts w:hint="eastAsia"/>
        </w:rPr>
      </w:pPr>
      <w:r>
        <w:rPr>
          <w:rFonts w:hint="eastAsia"/>
        </w:rPr>
        <w:t>（運営）</w:t>
      </w:r>
    </w:p>
    <w:p>
      <w:pPr>
        <w:pStyle w:val="0"/>
        <w:widowControl w:val="1"/>
        <w:kinsoku w:val="0"/>
        <w:autoSpaceDE w:val="0"/>
        <w:autoSpaceDN w:val="0"/>
        <w:jc w:val="left"/>
        <w:outlineLvl w:val="1"/>
        <w:rPr>
          <w:rFonts w:hint="eastAsia"/>
        </w:rPr>
      </w:pPr>
      <w:r>
        <w:rPr>
          <w:rFonts w:hint="eastAsia"/>
        </w:rPr>
        <w:t>第４条　協議会の運営は、次のとおりとする。</w:t>
      </w:r>
    </w:p>
    <w:p>
      <w:pPr>
        <w:pStyle w:val="0"/>
        <w:widowControl w:val="1"/>
        <w:kinsoku w:val="0"/>
        <w:autoSpaceDE w:val="0"/>
        <w:autoSpaceDN w:val="0"/>
        <w:jc w:val="left"/>
        <w:outlineLvl w:val="1"/>
        <w:rPr>
          <w:rFonts w:hint="eastAsia"/>
        </w:rPr>
      </w:pPr>
      <w:r>
        <w:rPr>
          <w:rFonts w:hint="eastAsia"/>
        </w:rPr>
        <w:t>（１）協議会は、会長が招集し、会長が議長となる。</w:t>
      </w:r>
    </w:p>
    <w:p>
      <w:pPr>
        <w:pStyle w:val="0"/>
        <w:widowControl w:val="1"/>
        <w:kinsoku w:val="0"/>
        <w:autoSpaceDE w:val="0"/>
        <w:autoSpaceDN w:val="0"/>
        <w:ind w:left="480" w:hanging="480" w:hangingChars="200"/>
        <w:jc w:val="left"/>
        <w:outlineLvl w:val="1"/>
        <w:rPr>
          <w:rFonts w:hint="eastAsia"/>
        </w:rPr>
      </w:pPr>
      <w:r>
        <w:rPr>
          <w:rFonts w:hint="eastAsia"/>
        </w:rPr>
        <w:t>（２）会長は、必要があると認めるときは、委員以外の者を出席させて意見又は説明を求めることができる。</w:t>
      </w:r>
    </w:p>
    <w:p>
      <w:pPr>
        <w:pStyle w:val="0"/>
        <w:widowControl w:val="1"/>
        <w:kinsoku w:val="0"/>
        <w:autoSpaceDE w:val="0"/>
        <w:autoSpaceDN w:val="0"/>
        <w:ind w:left="480" w:hanging="480" w:hangingChars="200"/>
        <w:jc w:val="left"/>
        <w:outlineLvl w:val="1"/>
        <w:rPr>
          <w:rFonts w:hint="eastAsia"/>
        </w:rPr>
      </w:pPr>
      <w:r>
        <w:rPr>
          <w:rFonts w:hint="eastAsia"/>
        </w:rPr>
        <w:t>（３）協議会は、別に組織する静岡県障害者施策推進協議会と連携して、所掌事務に当たるものとする。</w:t>
      </w:r>
    </w:p>
    <w:p>
      <w:pPr>
        <w:pStyle w:val="0"/>
        <w:widowControl w:val="1"/>
        <w:kinsoku w:val="0"/>
        <w:autoSpaceDE w:val="0"/>
        <w:autoSpaceDN w:val="0"/>
        <w:jc w:val="left"/>
        <w:outlineLvl w:val="1"/>
        <w:rPr>
          <w:rFonts w:hint="eastAsia"/>
        </w:rPr>
      </w:pPr>
      <w:r>
        <w:rPr>
          <w:rFonts w:hint="eastAsia"/>
        </w:rPr>
        <w:t>（庶務）</w:t>
      </w:r>
    </w:p>
    <w:p>
      <w:pPr>
        <w:pStyle w:val="0"/>
        <w:widowControl w:val="1"/>
        <w:kinsoku w:val="0"/>
        <w:autoSpaceDE w:val="0"/>
        <w:autoSpaceDN w:val="0"/>
        <w:jc w:val="left"/>
        <w:outlineLvl w:val="1"/>
        <w:rPr>
          <w:rFonts w:hint="eastAsia"/>
        </w:rPr>
      </w:pPr>
      <w:r>
        <w:rPr>
          <w:rFonts w:hint="eastAsia"/>
        </w:rPr>
        <w:t>第５条　協議会の庶務は、健康福祉部障害者支援局障害者政策課において処理する。</w:t>
      </w:r>
    </w:p>
    <w:p>
      <w:pPr>
        <w:pStyle w:val="0"/>
        <w:widowControl w:val="1"/>
        <w:kinsoku w:val="0"/>
        <w:autoSpaceDE w:val="0"/>
        <w:autoSpaceDN w:val="0"/>
        <w:jc w:val="left"/>
        <w:outlineLvl w:val="1"/>
        <w:rPr>
          <w:rFonts w:hint="eastAsia"/>
        </w:rPr>
      </w:pPr>
      <w:r>
        <w:rPr>
          <w:rFonts w:hint="eastAsia"/>
        </w:rPr>
        <w:t>（委任）</w:t>
      </w:r>
    </w:p>
    <w:p>
      <w:pPr>
        <w:pStyle w:val="0"/>
        <w:widowControl w:val="1"/>
        <w:kinsoku w:val="0"/>
        <w:autoSpaceDE w:val="0"/>
        <w:autoSpaceDN w:val="0"/>
        <w:ind w:left="240" w:hanging="240" w:hangingChars="100"/>
        <w:jc w:val="left"/>
        <w:outlineLvl w:val="1"/>
        <w:rPr>
          <w:rFonts w:hint="eastAsia"/>
        </w:rPr>
      </w:pPr>
      <w:r>
        <w:rPr>
          <w:rFonts w:hint="eastAsia"/>
        </w:rPr>
        <w:t>第６条　この要綱に定めるもののほか、協議会の運営に関し必要な事項は、会長が別に定める。</w:t>
      </w:r>
    </w:p>
    <w:p>
      <w:pPr>
        <w:pStyle w:val="0"/>
        <w:kinsoku w:val="0"/>
        <w:overflowPunct w:val="0"/>
        <w:autoSpaceDE w:val="0"/>
        <w:jc w:val="left"/>
        <w:rPr>
          <w:rFonts w:hint="eastAsia"/>
          <w:kern w:val="0"/>
        </w:rPr>
      </w:pPr>
    </w:p>
    <w:p>
      <w:pPr>
        <w:pStyle w:val="0"/>
        <w:kinsoku w:val="0"/>
        <w:overflowPunct w:val="0"/>
        <w:autoSpaceDE w:val="0"/>
        <w:jc w:val="left"/>
        <w:rPr>
          <w:rFonts w:hint="eastAsia"/>
          <w:kern w:val="0"/>
        </w:rPr>
      </w:pPr>
      <w:r>
        <w:rPr>
          <w:rFonts w:hint="eastAsia"/>
          <w:kern w:val="0"/>
        </w:rPr>
        <w:t>附　則（略）</w:t>
      </w:r>
    </w:p>
    <w:p>
      <w:pPr>
        <w:pStyle w:val="0"/>
        <w:widowControl w:val="1"/>
        <w:kinsoku w:val="0"/>
        <w:autoSpaceDE w:val="0"/>
        <w:autoSpaceDN w:val="0"/>
        <w:ind w:left="240" w:hanging="240" w:hangingChars="100"/>
        <w:jc w:val="left"/>
        <w:outlineLvl w:val="1"/>
        <w:rPr>
          <w:rFonts w:hint="eastAsia"/>
        </w:rPr>
      </w:pPr>
    </w:p>
    <w:p>
      <w:pPr>
        <w:pStyle w:val="0"/>
        <w:rPr>
          <w:rFonts w:hint="eastAsia"/>
          <w:color w:val="auto"/>
        </w:rPr>
      </w:pPr>
      <w:r>
        <w:rPr>
          <w:rFonts w:hint="default" w:ascii="ＭＳ ゴシック" w:hAnsi="ＭＳ ゴシック" w:eastAsia="ＭＳ ゴシック"/>
          <w:color w:val="auto"/>
          <w:sz w:val="26"/>
          <w:u w:val="single" w:color="auto"/>
        </w:rPr>
        <w:br w:type="page"/>
      </w:r>
      <w:r>
        <w:rPr>
          <w:rFonts w:hint="eastAsia"/>
          <w:color w:val="auto"/>
        </w:rPr>
        <w:t>別表（第３条第２項関係）</w:t>
      </w:r>
    </w:p>
    <w:p>
      <w:pPr>
        <w:pStyle w:val="0"/>
        <w:rPr>
          <w:rFonts w:hint="eastAsia"/>
          <w:color w:val="auto"/>
        </w:rPr>
      </w:pPr>
    </w:p>
    <w:tbl>
      <w:tblPr>
        <w:tblStyle w:val="11"/>
        <w:tblW w:w="95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Look w:firstRow="0" w:lastRow="0" w:firstColumn="0" w:lastColumn="0" w:noHBand="1" w:noVBand="1" w:val="0600"/>
      </w:tblPr>
      <w:tblGrid>
        <w:gridCol w:w="2326"/>
        <w:gridCol w:w="7230"/>
      </w:tblGrid>
      <w:tr>
        <w:trPr>
          <w:trHeight w:val="843" w:hRule="atLeast"/>
        </w:trPr>
        <w:tc>
          <w:tcPr>
            <w:tcW w:w="23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color w:val="auto"/>
                <w:kern w:val="0"/>
              </w:rPr>
            </w:pPr>
            <w:r>
              <w:rPr>
                <w:rFonts w:hint="eastAsia"/>
                <w:color w:val="auto"/>
                <w:spacing w:val="31"/>
                <w:kern w:val="0"/>
                <w:fitText w:val="1759" w:id="8"/>
              </w:rPr>
              <w:t>知事直轄組</w:t>
            </w:r>
            <w:r>
              <w:rPr>
                <w:rFonts w:hint="eastAsia"/>
                <w:color w:val="auto"/>
                <w:spacing w:val="4"/>
                <w:kern w:val="0"/>
                <w:fitText w:val="1759" w:id="8"/>
              </w:rPr>
              <w:t>織</w:t>
            </w:r>
          </w:p>
        </w:tc>
        <w:tc>
          <w:tcPr>
            <w:tcW w:w="72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color w:val="auto"/>
              </w:rPr>
            </w:pPr>
            <w:r>
              <w:rPr>
                <w:rFonts w:hint="eastAsia"/>
                <w:color w:val="auto"/>
              </w:rPr>
              <w:t>知事戦略局理事兼総務課長</w:t>
            </w:r>
          </w:p>
        </w:tc>
      </w:tr>
      <w:tr>
        <w:trPr>
          <w:trHeight w:val="843" w:hRule="atLeast"/>
        </w:trPr>
        <w:tc>
          <w:tcPr>
            <w:tcW w:w="23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color w:val="auto"/>
              </w:rPr>
            </w:pPr>
            <w:r>
              <w:rPr>
                <w:rFonts w:hint="eastAsia"/>
                <w:color w:val="auto"/>
                <w:spacing w:val="70"/>
                <w:kern w:val="0"/>
                <w:fitText w:val="1760" w:id="9"/>
              </w:rPr>
              <w:t>危機管理</w:t>
            </w:r>
            <w:r>
              <w:rPr>
                <w:rFonts w:hint="eastAsia"/>
                <w:color w:val="auto"/>
                <w:spacing w:val="37"/>
                <w:kern w:val="0"/>
                <w:fitText w:val="1760" w:id="9"/>
              </w:rPr>
              <w:t>部</w:t>
            </w:r>
          </w:p>
        </w:tc>
        <w:tc>
          <w:tcPr>
            <w:tcW w:w="72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color w:val="auto"/>
              </w:rPr>
            </w:pPr>
            <w:r>
              <w:rPr>
                <w:rFonts w:hint="eastAsia"/>
                <w:color w:val="auto"/>
              </w:rPr>
              <w:t>参事（政策調整担当）</w:t>
            </w:r>
          </w:p>
        </w:tc>
      </w:tr>
      <w:tr>
        <w:trPr>
          <w:trHeight w:val="843" w:hRule="atLeast"/>
        </w:trPr>
        <w:tc>
          <w:tcPr>
            <w:tcW w:w="23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color w:val="auto"/>
              </w:rPr>
            </w:pPr>
            <w:r>
              <w:rPr>
                <w:rFonts w:hint="eastAsia"/>
                <w:color w:val="auto"/>
                <w:spacing w:val="70"/>
                <w:kern w:val="0"/>
                <w:fitText w:val="1760" w:id="10"/>
              </w:rPr>
              <w:t>経営管理</w:t>
            </w:r>
            <w:r>
              <w:rPr>
                <w:rFonts w:hint="eastAsia"/>
                <w:color w:val="auto"/>
                <w:spacing w:val="37"/>
                <w:kern w:val="0"/>
                <w:fitText w:val="1760" w:id="10"/>
              </w:rPr>
              <w:t>部</w:t>
            </w:r>
          </w:p>
        </w:tc>
        <w:tc>
          <w:tcPr>
            <w:tcW w:w="72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color w:val="auto"/>
              </w:rPr>
            </w:pPr>
            <w:r>
              <w:rPr>
                <w:rFonts w:hint="eastAsia"/>
                <w:color w:val="auto"/>
              </w:rPr>
              <w:t>行政経営局長　財務局長　地域振興局長</w:t>
            </w:r>
          </w:p>
        </w:tc>
      </w:tr>
      <w:tr>
        <w:trPr>
          <w:trHeight w:val="843" w:hRule="atLeast"/>
        </w:trPr>
        <w:tc>
          <w:tcPr>
            <w:tcW w:w="23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color w:val="auto"/>
              </w:rPr>
            </w:pPr>
            <w:r>
              <w:rPr>
                <w:rFonts w:hint="eastAsia"/>
                <w:color w:val="auto"/>
                <w:spacing w:val="16"/>
                <w:kern w:val="0"/>
                <w:fitText w:val="1760" w:id="11"/>
              </w:rPr>
              <w:t>くらし･環境</w:t>
            </w:r>
            <w:r>
              <w:rPr>
                <w:rFonts w:hint="eastAsia"/>
                <w:color w:val="auto"/>
                <w:spacing w:val="4"/>
                <w:kern w:val="0"/>
                <w:fitText w:val="1760" w:id="11"/>
              </w:rPr>
              <w:t>部</w:t>
            </w:r>
          </w:p>
        </w:tc>
        <w:tc>
          <w:tcPr>
            <w:tcW w:w="72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color w:val="auto"/>
              </w:rPr>
            </w:pPr>
            <w:r>
              <w:rPr>
                <w:rFonts w:hint="eastAsia"/>
                <w:color w:val="auto"/>
                <w:kern w:val="0"/>
              </w:rPr>
              <w:t>政策管理局長</w:t>
            </w:r>
          </w:p>
        </w:tc>
      </w:tr>
      <w:tr>
        <w:trPr>
          <w:trHeight w:val="843" w:hRule="atLeast"/>
        </w:trPr>
        <w:tc>
          <w:tcPr>
            <w:tcW w:w="23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color w:val="auto"/>
              </w:rPr>
            </w:pPr>
            <w:r>
              <w:rPr>
                <w:rFonts w:hint="eastAsia"/>
                <w:color w:val="auto"/>
              </w:rPr>
              <w:t>スポーツ・</w:t>
            </w:r>
            <w:r>
              <w:rPr>
                <w:rFonts w:hint="eastAsia"/>
                <w:color w:val="auto"/>
                <w:spacing w:val="70"/>
                <w:kern w:val="0"/>
                <w:fitText w:val="1760" w:id="12"/>
              </w:rPr>
              <w:t>文化観光</w:t>
            </w:r>
            <w:r>
              <w:rPr>
                <w:rFonts w:hint="eastAsia"/>
                <w:color w:val="auto"/>
                <w:spacing w:val="7"/>
                <w:kern w:val="0"/>
                <w:fitText w:val="1760" w:id="12"/>
              </w:rPr>
              <w:t>部</w:t>
            </w:r>
          </w:p>
        </w:tc>
        <w:tc>
          <w:tcPr>
            <w:tcW w:w="72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color w:val="auto"/>
                <w:kern w:val="0"/>
              </w:rPr>
            </w:pPr>
            <w:r>
              <w:rPr>
                <w:rFonts w:hint="eastAsia"/>
                <w:color w:val="auto"/>
                <w:kern w:val="0"/>
              </w:rPr>
              <w:t>政策管理局長</w:t>
            </w:r>
          </w:p>
        </w:tc>
      </w:tr>
      <w:tr>
        <w:trPr>
          <w:trHeight w:val="843" w:hRule="atLeast"/>
        </w:trPr>
        <w:tc>
          <w:tcPr>
            <w:tcW w:w="23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color w:val="auto"/>
              </w:rPr>
            </w:pPr>
            <w:r>
              <w:rPr>
                <w:rFonts w:hint="eastAsia"/>
                <w:color w:val="auto"/>
                <w:spacing w:val="70"/>
                <w:kern w:val="0"/>
                <w:fitText w:val="1760" w:id="13"/>
              </w:rPr>
              <w:t>健康福祉</w:t>
            </w:r>
            <w:r>
              <w:rPr>
                <w:rFonts w:hint="eastAsia"/>
                <w:color w:val="auto"/>
                <w:spacing w:val="37"/>
                <w:kern w:val="0"/>
                <w:fitText w:val="1760" w:id="13"/>
              </w:rPr>
              <w:t>部</w:t>
            </w:r>
          </w:p>
        </w:tc>
        <w:tc>
          <w:tcPr>
            <w:tcW w:w="72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color w:val="auto"/>
                <w:kern w:val="0"/>
              </w:rPr>
            </w:pPr>
            <w:r>
              <w:rPr>
                <w:rFonts w:hint="eastAsia"/>
                <w:color w:val="auto"/>
                <w:kern w:val="0"/>
              </w:rPr>
              <w:t>健康福祉部長（会長）、障害者支援局長（副会長）</w:t>
            </w:r>
          </w:p>
          <w:p>
            <w:pPr>
              <w:pStyle w:val="0"/>
              <w:rPr>
                <w:rFonts w:hint="eastAsia"/>
                <w:color w:val="auto"/>
                <w:kern w:val="0"/>
              </w:rPr>
            </w:pPr>
            <w:r>
              <w:rPr>
                <w:rFonts w:hint="eastAsia"/>
                <w:color w:val="auto"/>
                <w:kern w:val="0"/>
              </w:rPr>
              <w:t>政策管理局長　福祉長寿局長　こども未来局長　医療局長</w:t>
            </w:r>
          </w:p>
        </w:tc>
      </w:tr>
      <w:tr>
        <w:trPr>
          <w:trHeight w:val="843" w:hRule="atLeast"/>
        </w:trPr>
        <w:tc>
          <w:tcPr>
            <w:tcW w:w="23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color w:val="auto"/>
              </w:rPr>
            </w:pPr>
            <w:r>
              <w:rPr>
                <w:rFonts w:hint="eastAsia"/>
                <w:color w:val="auto"/>
                <w:spacing w:val="70"/>
                <w:kern w:val="0"/>
                <w:fitText w:val="1760" w:id="14"/>
              </w:rPr>
              <w:t>経済産業</w:t>
            </w:r>
            <w:r>
              <w:rPr>
                <w:rFonts w:hint="eastAsia"/>
                <w:color w:val="auto"/>
                <w:spacing w:val="37"/>
                <w:kern w:val="0"/>
                <w:fitText w:val="1760" w:id="14"/>
              </w:rPr>
              <w:t>部</w:t>
            </w:r>
          </w:p>
        </w:tc>
        <w:tc>
          <w:tcPr>
            <w:tcW w:w="72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color w:val="auto"/>
              </w:rPr>
            </w:pPr>
            <w:r>
              <w:rPr>
                <w:rFonts w:hint="eastAsia"/>
                <w:color w:val="auto"/>
                <w:kern w:val="0"/>
              </w:rPr>
              <w:t>政策管理局長　就業支援局長</w:t>
            </w:r>
          </w:p>
        </w:tc>
      </w:tr>
      <w:tr>
        <w:trPr>
          <w:trHeight w:val="843" w:hRule="atLeast"/>
        </w:trPr>
        <w:tc>
          <w:tcPr>
            <w:tcW w:w="23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color w:val="auto"/>
              </w:rPr>
            </w:pPr>
            <w:r>
              <w:rPr>
                <w:rFonts w:hint="eastAsia"/>
                <w:color w:val="auto"/>
                <w:spacing w:val="70"/>
                <w:kern w:val="0"/>
                <w:fitText w:val="1760" w:id="15"/>
              </w:rPr>
              <w:t>交通基盤</w:t>
            </w:r>
            <w:r>
              <w:rPr>
                <w:rFonts w:hint="eastAsia"/>
                <w:color w:val="auto"/>
                <w:spacing w:val="37"/>
                <w:kern w:val="0"/>
                <w:fitText w:val="1760" w:id="15"/>
              </w:rPr>
              <w:t>部</w:t>
            </w:r>
          </w:p>
        </w:tc>
        <w:tc>
          <w:tcPr>
            <w:tcW w:w="72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color w:val="auto"/>
              </w:rPr>
            </w:pPr>
            <w:r>
              <w:rPr>
                <w:rFonts w:hint="eastAsia"/>
                <w:color w:val="auto"/>
              </w:rPr>
              <w:t>政策管理局長</w:t>
            </w:r>
          </w:p>
        </w:tc>
      </w:tr>
      <w:tr>
        <w:trPr>
          <w:trHeight w:val="843" w:hRule="atLeast"/>
        </w:trPr>
        <w:tc>
          <w:tcPr>
            <w:tcW w:w="23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color w:val="auto"/>
                <w:kern w:val="0"/>
              </w:rPr>
            </w:pPr>
            <w:r>
              <w:rPr>
                <w:rFonts w:hint="eastAsia"/>
                <w:color w:val="auto"/>
                <w:spacing w:val="259"/>
                <w:kern w:val="0"/>
                <w:fitText w:val="1759" w:id="16"/>
              </w:rPr>
              <w:t>出納</w:t>
            </w:r>
            <w:r>
              <w:rPr>
                <w:rFonts w:hint="eastAsia"/>
                <w:color w:val="auto"/>
                <w:spacing w:val="1"/>
                <w:kern w:val="0"/>
                <w:fitText w:val="1759" w:id="16"/>
              </w:rPr>
              <w:t>局</w:t>
            </w:r>
          </w:p>
        </w:tc>
        <w:tc>
          <w:tcPr>
            <w:tcW w:w="72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color w:val="auto"/>
              </w:rPr>
            </w:pPr>
            <w:r>
              <w:rPr>
                <w:rFonts w:hint="eastAsia"/>
                <w:color w:val="auto"/>
              </w:rPr>
              <w:t>次長</w:t>
            </w:r>
          </w:p>
        </w:tc>
      </w:tr>
      <w:tr>
        <w:trPr>
          <w:trHeight w:val="843" w:hRule="atLeast"/>
        </w:trPr>
        <w:tc>
          <w:tcPr>
            <w:tcW w:w="23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color w:val="auto"/>
              </w:rPr>
            </w:pPr>
            <w:r>
              <w:rPr>
                <w:rFonts w:hint="eastAsia"/>
                <w:color w:val="auto"/>
                <w:spacing w:val="1"/>
                <w:w w:val="91"/>
                <w:kern w:val="0"/>
                <w:fitText w:val="1760" w:id="17"/>
              </w:rPr>
              <w:t>教育委員会事務</w:t>
            </w:r>
            <w:r>
              <w:rPr>
                <w:rFonts w:hint="eastAsia"/>
                <w:color w:val="auto"/>
                <w:spacing w:val="3"/>
                <w:w w:val="91"/>
                <w:kern w:val="0"/>
                <w:fitText w:val="1760" w:id="17"/>
              </w:rPr>
              <w:t>局</w:t>
            </w:r>
          </w:p>
        </w:tc>
        <w:tc>
          <w:tcPr>
            <w:tcW w:w="72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color w:val="auto"/>
              </w:rPr>
            </w:pPr>
            <w:r>
              <w:rPr>
                <w:rFonts w:hint="eastAsia"/>
                <w:color w:val="auto"/>
              </w:rPr>
              <w:t>教育部長</w:t>
            </w:r>
          </w:p>
        </w:tc>
      </w:tr>
      <w:tr>
        <w:trPr>
          <w:trHeight w:val="821" w:hRule="atLeast"/>
        </w:trPr>
        <w:tc>
          <w:tcPr>
            <w:tcW w:w="23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color w:val="auto"/>
              </w:rPr>
            </w:pPr>
            <w:r>
              <w:rPr>
                <w:rFonts w:hint="eastAsia"/>
                <w:color w:val="auto"/>
                <w:spacing w:val="133"/>
                <w:kern w:val="0"/>
                <w:fitText w:val="1760" w:id="18"/>
              </w:rPr>
              <w:t>警察本</w:t>
            </w:r>
            <w:r>
              <w:rPr>
                <w:rFonts w:hint="eastAsia"/>
                <w:color w:val="auto"/>
                <w:spacing w:val="1"/>
                <w:kern w:val="0"/>
                <w:fitText w:val="1760" w:id="18"/>
              </w:rPr>
              <w:t>部</w:t>
            </w:r>
          </w:p>
        </w:tc>
        <w:tc>
          <w:tcPr>
            <w:tcW w:w="723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color w:val="auto"/>
              </w:rPr>
            </w:pPr>
            <w:r>
              <w:rPr>
                <w:rFonts w:hint="eastAsia"/>
                <w:color w:val="auto"/>
              </w:rPr>
              <w:t>総務部参事官兼総務課長</w:t>
            </w:r>
          </w:p>
        </w:tc>
      </w:tr>
    </w:tbl>
    <w:p>
      <w:pPr>
        <w:rPr>
          <w:rFonts w:hint="default"/>
          <w:color w:val="auto"/>
        </w:rPr>
        <w:sectPr>
          <w:pgSz w:w="11906" w:h="16838"/>
          <w:pgMar w:top="1134" w:right="1021" w:bottom="1134" w:left="1134" w:header="284" w:footer="284" w:gutter="0"/>
          <w:cols w:space="720"/>
          <w:textDirection w:val="lrTb"/>
          <w:docGrid w:type="lines" w:linePitch="364" w:charSpace="55953"/>
        </w:sectPr>
      </w:pPr>
    </w:p>
    <w:p>
      <w:pPr>
        <w:pStyle w:val="2"/>
        <w:rPr>
          <w:rFonts w:hint="eastAsia"/>
          <w:color w:val="auto"/>
          <w:sz w:val="32"/>
        </w:rPr>
      </w:pPr>
      <w:bookmarkStart w:id="172" w:name="_Toc503474133"/>
      <w:bookmarkEnd w:id="172"/>
      <w:r>
        <w:rPr>
          <w:rFonts w:hint="eastAsia"/>
        </w:rPr>
        <w:br w:type="page"/>
      </w:r>
    </w:p>
    <w:p>
      <w:pPr>
        <w:pStyle w:val="2"/>
        <w:rPr>
          <w:rFonts w:hint="eastAsia"/>
          <w:color w:val="auto"/>
          <w:sz w:val="32"/>
        </w:rPr>
      </w:pPr>
      <w:r>
        <w:rPr>
          <w:rFonts w:hint="eastAsia"/>
          <w:color w:val="auto"/>
          <w:sz w:val="32"/>
        </w:rPr>
        <w:t>資料４　策定経緯</w:t>
      </w:r>
    </w:p>
    <w:p>
      <w:pPr>
        <w:pStyle w:val="0"/>
        <w:widowControl w:val="1"/>
        <w:kinsoku w:val="0"/>
        <w:autoSpaceDE w:val="0"/>
        <w:autoSpaceDN w:val="0"/>
        <w:jc w:val="left"/>
        <w:outlineLvl w:val="1"/>
        <w:rPr>
          <w:rFonts w:hint="eastAsia" w:ascii="ＭＳ ゴシック" w:hAnsi="ＭＳ ゴシック" w:eastAsia="ＭＳ ゴシック"/>
        </w:rPr>
      </w:pPr>
      <w:bookmarkStart w:id="173" w:name="_Toc503474134"/>
      <w:bookmarkEnd w:id="173"/>
      <w:r>
        <w:rPr>
          <w:rFonts w:hint="eastAsia" w:ascii="ＭＳ ゴシック" w:hAnsi="ＭＳ ゴシック" w:eastAsia="ＭＳ ゴシック"/>
        </w:rPr>
        <w:t>１　策定体制</w:t>
      </w:r>
    </w:p>
    <w:p>
      <w:pPr>
        <w:pStyle w:val="0"/>
        <w:widowControl w:val="1"/>
        <w:kinsoku w:val="0"/>
        <w:autoSpaceDE w:val="0"/>
        <w:autoSpaceDN w:val="0"/>
        <w:ind w:left="240" w:leftChars="100" w:firstLine="240" w:firstLineChars="100"/>
        <w:jc w:val="left"/>
        <w:outlineLvl w:val="1"/>
        <w:rPr>
          <w:rFonts w:hint="default"/>
        </w:rPr>
      </w:pPr>
      <w:bookmarkStart w:id="174" w:name="_Toc503474135"/>
      <w:bookmarkEnd w:id="174"/>
      <w:r>
        <w:rPr>
          <w:rFonts w:hint="eastAsia"/>
        </w:rPr>
        <w:t>計画の策定に当たっては、学識経験者、障害のある人、障害の福祉に関する事業に従事する方で構成される「静岡県障害者施策推進協議会」で審議しました。また、障害者計画については、関連施策との連携を図るため庁内関係部局で構成する「静岡県障害者計画等策定・推進協議会」において検討を行いました。</w:t>
      </w:r>
    </w:p>
    <w:p>
      <w:pPr>
        <w:pStyle w:val="0"/>
        <w:widowControl w:val="1"/>
        <w:kinsoku w:val="0"/>
        <w:autoSpaceDE w:val="0"/>
        <w:autoSpaceDN w:val="0"/>
        <w:jc w:val="left"/>
        <w:outlineLvl w:val="1"/>
        <w:rPr>
          <w:rFonts w:hint="default"/>
        </w:rPr>
      </w:pPr>
    </w:p>
    <w:p>
      <w:pPr>
        <w:pStyle w:val="0"/>
        <w:widowControl w:val="1"/>
        <w:kinsoku w:val="0"/>
        <w:autoSpaceDE w:val="0"/>
        <w:autoSpaceDN w:val="0"/>
        <w:jc w:val="left"/>
        <w:outlineLvl w:val="1"/>
        <w:rPr>
          <w:rFonts w:hint="default"/>
        </w:rPr>
      </w:pPr>
    </w:p>
    <w:p>
      <w:pPr>
        <w:pStyle w:val="0"/>
        <w:widowControl w:val="1"/>
        <w:kinsoku w:val="0"/>
        <w:autoSpaceDE w:val="0"/>
        <w:autoSpaceDN w:val="0"/>
        <w:jc w:val="left"/>
        <w:outlineLvl w:val="1"/>
        <w:rPr>
          <w:rFonts w:hint="default"/>
        </w:rPr>
      </w:pPr>
    </w:p>
    <w:p>
      <w:pPr>
        <w:pStyle w:val="0"/>
        <w:widowControl w:val="1"/>
        <w:kinsoku w:val="0"/>
        <w:autoSpaceDE w:val="0"/>
        <w:autoSpaceDN w:val="0"/>
        <w:jc w:val="left"/>
        <w:outlineLvl w:val="1"/>
        <w:rPr>
          <w:rFonts w:hint="eastAsia" w:ascii="ＭＳ ゴシック" w:hAnsi="ＭＳ ゴシック" w:eastAsia="ＭＳ ゴシック"/>
        </w:rPr>
      </w:pPr>
      <w:bookmarkStart w:id="175" w:name="_Toc503474136"/>
      <w:bookmarkEnd w:id="175"/>
      <w:r>
        <w:rPr>
          <w:rFonts w:hint="eastAsia" w:ascii="ＭＳ ゴシック" w:hAnsi="ＭＳ ゴシック" w:eastAsia="ＭＳ ゴシック"/>
        </w:rPr>
        <w:t>２　計画策定までの経過</w:t>
      </w:r>
    </w:p>
    <w:p>
      <w:pPr>
        <w:pStyle w:val="0"/>
        <w:widowControl w:val="1"/>
        <w:kinsoku w:val="0"/>
        <w:autoSpaceDE w:val="0"/>
        <w:autoSpaceDN w:val="0"/>
        <w:ind w:left="749" w:leftChars="12" w:hanging="720" w:hangingChars="300"/>
        <w:jc w:val="left"/>
        <w:outlineLvl w:val="1"/>
        <w:rPr>
          <w:rFonts w:hint="eastAsia"/>
        </w:rPr>
      </w:pPr>
      <w:bookmarkStart w:id="176" w:name="_Toc503474137"/>
      <w:bookmarkEnd w:id="176"/>
      <w:r>
        <w:rPr>
          <w:rFonts w:hint="eastAsia"/>
        </w:rPr>
        <w:t>（１）計画策定にあたっては、県内の障害のある人の実態を把握するため「障害のある方</w:t>
      </w:r>
      <w:r>
        <w:rPr>
          <w:rFonts w:hint="default"/>
        </w:rPr>
        <w:br w:type="textWrapping" w:clear="none"/>
      </w:r>
      <w:r>
        <w:rPr>
          <w:rFonts w:hint="eastAsia"/>
        </w:rPr>
        <w:t>の実態調査」を実施しました。</w:t>
      </w:r>
    </w:p>
    <w:p>
      <w:pPr>
        <w:pStyle w:val="0"/>
        <w:widowControl w:val="1"/>
        <w:kinsoku w:val="0"/>
        <w:autoSpaceDE w:val="0"/>
        <w:autoSpaceDN w:val="0"/>
        <w:ind w:left="749" w:leftChars="12" w:hanging="720" w:hangingChars="300"/>
        <w:jc w:val="left"/>
        <w:outlineLvl w:val="1"/>
        <w:rPr>
          <w:rFonts w:hint="eastAsia"/>
        </w:rPr>
      </w:pPr>
      <w:bookmarkStart w:id="177" w:name="_Toc503474138"/>
      <w:bookmarkEnd w:id="177"/>
      <w:r>
        <w:rPr>
          <w:rFonts w:hint="eastAsia"/>
        </w:rPr>
        <w:t>（２）障害者計画については、県内の主な障害者団体に対し、骨子案及び計画案について</w:t>
      </w:r>
      <w:r>
        <w:rPr>
          <w:rFonts w:hint="default"/>
        </w:rPr>
        <w:br w:type="textWrapping" w:clear="none"/>
      </w:r>
      <w:r>
        <w:rPr>
          <w:rFonts w:hint="eastAsia"/>
        </w:rPr>
        <w:t>意見照会を行い、回答いただいた意見を計画に反映しました。</w:t>
      </w:r>
    </w:p>
    <w:p>
      <w:pPr>
        <w:pStyle w:val="0"/>
        <w:widowControl w:val="1"/>
        <w:kinsoku w:val="0"/>
        <w:autoSpaceDE w:val="0"/>
        <w:autoSpaceDN w:val="0"/>
        <w:ind w:left="720" w:hanging="720" w:hangingChars="300"/>
        <w:jc w:val="left"/>
        <w:outlineLvl w:val="1"/>
        <w:rPr>
          <w:rFonts w:hint="eastAsia"/>
        </w:rPr>
      </w:pPr>
    </w:p>
    <w:tbl>
      <w:tblPr>
        <w:tblStyle w:val="11"/>
        <w:tblW w:w="9627" w:type="dxa"/>
        <w:tblInd w:w="228" w:type="dxa"/>
        <w:tblBorders>
          <w:top w:val="single" w:color="auto" w:sz="6" w:space="0"/>
          <w:left w:val="single" w:color="auto" w:sz="6" w:space="0"/>
          <w:bottom w:val="single" w:color="auto" w:sz="6" w:space="0"/>
          <w:right w:val="single" w:color="auto" w:sz="6" w:space="0"/>
          <w:insideH w:val="none" w:color="auto" w:sz="0" w:space="0"/>
          <w:insideV w:val="none" w:color="auto" w:sz="0" w:space="0"/>
        </w:tblBorders>
        <w:shd w:val="clear" w:color="auto" w:fill="auto"/>
        <w:tblLayout w:type="fixed"/>
        <w:tblLook w:firstRow="1" w:lastRow="1" w:firstColumn="1" w:lastColumn="1" w:noHBand="0" w:noVBand="0" w:val="01E0"/>
      </w:tblPr>
      <w:tblGrid>
        <w:gridCol w:w="1419"/>
        <w:gridCol w:w="8208"/>
      </w:tblGrid>
      <w:tr>
        <w:trPr>
          <w:trHeight w:val="570" w:hRule="atLeast"/>
        </w:trPr>
        <w:tc>
          <w:tcPr>
            <w:tcW w:w="1419"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jc w:val="center"/>
              <w:rPr>
                <w:rFonts w:hint="eastAsia"/>
                <w:color w:val="auto"/>
              </w:rPr>
            </w:pPr>
            <w:r>
              <w:rPr>
                <w:rFonts w:hint="eastAsia"/>
                <w:color w:val="auto"/>
              </w:rPr>
              <w:t>時期</w:t>
            </w:r>
          </w:p>
        </w:tc>
        <w:tc>
          <w:tcPr>
            <w:tcW w:w="8208"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jc w:val="center"/>
              <w:rPr>
                <w:rFonts w:hint="eastAsia"/>
                <w:color w:val="auto"/>
              </w:rPr>
            </w:pPr>
            <w:r>
              <w:rPr>
                <w:rFonts w:hint="eastAsia"/>
                <w:color w:val="auto"/>
              </w:rPr>
              <w:t>第５次障害者計画</w:t>
            </w:r>
          </w:p>
        </w:tc>
      </w:tr>
      <w:tr>
        <w:trPr>
          <w:trHeight w:val="570" w:hRule="atLeast"/>
        </w:trPr>
        <w:tc>
          <w:tcPr>
            <w:tcW w:w="1419"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ind w:left="0" w:leftChars="-95" w:hanging="228" w:hangingChars="95"/>
              <w:jc w:val="right"/>
              <w:rPr>
                <w:rFonts w:hint="eastAsia"/>
                <w:color w:val="auto"/>
              </w:rPr>
            </w:pPr>
            <w:r>
              <w:rPr>
                <w:rFonts w:hint="eastAsia"/>
                <w:color w:val="auto"/>
              </w:rPr>
              <w:t>2020</w:t>
            </w:r>
            <w:r>
              <w:rPr>
                <w:rFonts w:hint="eastAsia"/>
                <w:color w:val="auto"/>
              </w:rPr>
              <w:t>年度</w:t>
            </w:r>
          </w:p>
        </w:tc>
        <w:tc>
          <w:tcPr>
            <w:tcW w:w="8208"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jc w:val="both"/>
              <w:rPr>
                <w:rFonts w:hint="eastAsia"/>
                <w:color w:val="auto"/>
              </w:rPr>
            </w:pPr>
            <w:r>
              <w:rPr>
                <w:rFonts w:hint="eastAsia"/>
                <w:color w:val="auto"/>
              </w:rPr>
              <w:t>・「静岡県障害のある方の実態調査」実施</w:t>
            </w:r>
          </w:p>
          <w:p>
            <w:pPr>
              <w:pStyle w:val="0"/>
              <w:widowControl w:val="0"/>
              <w:snapToGrid w:val="0"/>
              <w:ind w:firstLine="240" w:firstLineChars="100"/>
              <w:jc w:val="both"/>
              <w:rPr>
                <w:rFonts w:hint="eastAsia"/>
                <w:color w:val="auto"/>
              </w:rPr>
            </w:pPr>
            <w:r>
              <w:rPr>
                <w:rFonts w:hint="eastAsia"/>
                <w:color w:val="auto"/>
              </w:rPr>
              <w:t>（９月～</w:t>
            </w:r>
            <w:r>
              <w:rPr>
                <w:rFonts w:hint="eastAsia"/>
                <w:color w:val="auto"/>
              </w:rPr>
              <w:t>11</w:t>
            </w:r>
            <w:r>
              <w:rPr>
                <w:rFonts w:hint="eastAsia"/>
                <w:color w:val="auto"/>
              </w:rPr>
              <w:t>月）</w:t>
            </w:r>
          </w:p>
        </w:tc>
      </w:tr>
      <w:tr>
        <w:trPr>
          <w:trHeight w:val="570" w:hRule="atLeast"/>
        </w:trPr>
        <w:tc>
          <w:tcPr>
            <w:tcW w:w="1419"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jc w:val="right"/>
              <w:rPr>
                <w:rFonts w:hint="eastAsia"/>
                <w:color w:val="auto"/>
              </w:rPr>
            </w:pPr>
            <w:r>
              <w:rPr>
                <w:rFonts w:hint="eastAsia"/>
                <w:color w:val="auto"/>
              </w:rPr>
              <w:t>2021</w:t>
            </w:r>
            <w:r>
              <w:rPr>
                <w:rFonts w:hint="eastAsia"/>
                <w:color w:val="auto"/>
              </w:rPr>
              <w:t>年度</w:t>
            </w:r>
          </w:p>
          <w:p>
            <w:pPr>
              <w:pStyle w:val="0"/>
              <w:widowControl w:val="0"/>
              <w:snapToGrid w:val="0"/>
              <w:jc w:val="right"/>
              <w:rPr>
                <w:rFonts w:hint="eastAsia"/>
                <w:color w:val="auto"/>
              </w:rPr>
            </w:pPr>
            <w:r>
              <w:rPr>
                <w:rFonts w:hint="eastAsia"/>
                <w:color w:val="auto"/>
              </w:rPr>
              <w:t>８月</w:t>
            </w:r>
          </w:p>
        </w:tc>
        <w:tc>
          <w:tcPr>
            <w:tcW w:w="8208"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jc w:val="both"/>
              <w:rPr>
                <w:rFonts w:hint="eastAsia"/>
                <w:color w:val="auto"/>
              </w:rPr>
            </w:pPr>
            <w:r>
              <w:rPr>
                <w:rFonts w:hint="eastAsia"/>
                <w:color w:val="auto"/>
              </w:rPr>
              <w:t>・第１回静岡県障害者施策推進協議会開催（８月５日）</w:t>
            </w:r>
          </w:p>
        </w:tc>
      </w:tr>
      <w:tr>
        <w:trPr>
          <w:trHeight w:val="570" w:hRule="atLeast"/>
        </w:trPr>
        <w:tc>
          <w:tcPr>
            <w:tcW w:w="1419"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jc w:val="right"/>
              <w:rPr>
                <w:rFonts w:hint="eastAsia"/>
                <w:color w:val="auto"/>
              </w:rPr>
            </w:pPr>
            <w:r>
              <w:rPr>
                <w:rFonts w:hint="eastAsia"/>
                <w:color w:val="auto"/>
              </w:rPr>
              <w:t>10</w:t>
            </w:r>
            <w:r>
              <w:rPr>
                <w:rFonts w:hint="eastAsia"/>
                <w:color w:val="auto"/>
              </w:rPr>
              <w:t>月</w:t>
            </w:r>
            <w:r>
              <w:rPr>
                <w:rFonts w:hint="eastAsia"/>
                <w:color w:val="auto"/>
              </w:rPr>
              <w:t xml:space="preserve"> </w:t>
            </w:r>
          </w:p>
        </w:tc>
        <w:tc>
          <w:tcPr>
            <w:tcW w:w="8208"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ind w:left="240" w:hanging="240" w:hangingChars="100"/>
              <w:jc w:val="both"/>
              <w:rPr>
                <w:rFonts w:hint="eastAsia"/>
                <w:color w:val="auto"/>
              </w:rPr>
            </w:pPr>
            <w:r>
              <w:rPr>
                <w:rFonts w:hint="eastAsia"/>
                <w:color w:val="auto"/>
              </w:rPr>
              <w:t>・関係団体に対し計画策定に係る意見照会実施（</w:t>
            </w:r>
            <w:r>
              <w:rPr>
                <w:rFonts w:hint="eastAsia"/>
                <w:color w:val="auto"/>
              </w:rPr>
              <w:t>10</w:t>
            </w:r>
            <w:r>
              <w:rPr>
                <w:rFonts w:hint="eastAsia"/>
                <w:color w:val="auto"/>
              </w:rPr>
              <w:t>月８日～</w:t>
            </w:r>
            <w:r>
              <w:rPr>
                <w:rFonts w:hint="eastAsia"/>
                <w:color w:val="auto"/>
              </w:rPr>
              <w:t>22</w:t>
            </w:r>
            <w:r>
              <w:rPr>
                <w:rFonts w:hint="eastAsia"/>
                <w:color w:val="auto"/>
              </w:rPr>
              <w:t>日）</w:t>
            </w:r>
          </w:p>
        </w:tc>
      </w:tr>
      <w:tr>
        <w:trPr>
          <w:trHeight w:val="570" w:hRule="atLeast"/>
        </w:trPr>
        <w:tc>
          <w:tcPr>
            <w:tcW w:w="1419" w:type="dxa"/>
            <w:vMerge w:val="restar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jc w:val="right"/>
              <w:rPr>
                <w:rFonts w:hint="eastAsia"/>
                <w:color w:val="auto"/>
              </w:rPr>
            </w:pPr>
            <w:r>
              <w:rPr>
                <w:rFonts w:hint="eastAsia"/>
                <w:color w:val="auto"/>
              </w:rPr>
              <w:t>11</w:t>
            </w:r>
            <w:r>
              <w:rPr>
                <w:rFonts w:hint="eastAsia"/>
                <w:color w:val="auto"/>
              </w:rPr>
              <w:t>月</w:t>
            </w:r>
          </w:p>
        </w:tc>
        <w:tc>
          <w:tcPr>
            <w:tcW w:w="8208"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ind w:left="240" w:hanging="240" w:hangingChars="100"/>
              <w:jc w:val="both"/>
              <w:rPr>
                <w:rFonts w:hint="eastAsia"/>
                <w:color w:val="auto"/>
              </w:rPr>
            </w:pPr>
            <w:r>
              <w:rPr>
                <w:rFonts w:hint="eastAsia"/>
                <w:color w:val="auto"/>
              </w:rPr>
              <w:t>・静岡県障害者計画等策定・推進協議会書面開催（</w:t>
            </w:r>
            <w:r>
              <w:rPr>
                <w:rFonts w:hint="eastAsia"/>
                <w:color w:val="auto"/>
              </w:rPr>
              <w:t>11</w:t>
            </w:r>
            <w:r>
              <w:rPr>
                <w:rFonts w:hint="eastAsia"/>
                <w:color w:val="auto"/>
              </w:rPr>
              <w:t>月</w:t>
            </w:r>
            <w:r>
              <w:rPr>
                <w:rFonts w:hint="eastAsia"/>
                <w:color w:val="auto"/>
              </w:rPr>
              <w:t>12</w:t>
            </w:r>
            <w:r>
              <w:rPr>
                <w:rFonts w:hint="eastAsia"/>
                <w:color w:val="auto"/>
              </w:rPr>
              <w:t>日～</w:t>
            </w:r>
            <w:r>
              <w:rPr>
                <w:rFonts w:hint="eastAsia"/>
                <w:color w:val="auto"/>
              </w:rPr>
              <w:t>17</w:t>
            </w:r>
            <w:r>
              <w:rPr>
                <w:rFonts w:hint="eastAsia"/>
                <w:color w:val="auto"/>
              </w:rPr>
              <w:t>日）</w:t>
            </w:r>
          </w:p>
        </w:tc>
      </w:tr>
      <w:tr>
        <w:trPr>
          <w:trHeight w:val="570" w:hRule="atLeast"/>
        </w:trPr>
        <w:tc>
          <w:tcPr>
            <w:tcW w:w="1419" w:type="dxa"/>
            <w:vMerge w:val="continue"/>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rPr>
                <w:rFonts w:hint="eastAsia"/>
              </w:rPr>
            </w:pPr>
          </w:p>
        </w:tc>
        <w:tc>
          <w:tcPr>
            <w:tcW w:w="8208"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jc w:val="both"/>
              <w:rPr>
                <w:rFonts w:hint="eastAsia"/>
                <w:color w:val="auto"/>
              </w:rPr>
            </w:pPr>
            <w:r>
              <w:rPr>
                <w:rFonts w:hint="eastAsia"/>
                <w:color w:val="auto"/>
              </w:rPr>
              <w:t>・第２回静岡県障害者施策推進協議会開催（</w:t>
            </w:r>
            <w:r>
              <w:rPr>
                <w:rFonts w:hint="eastAsia"/>
                <w:color w:val="auto"/>
              </w:rPr>
              <w:t>11</w:t>
            </w:r>
            <w:r>
              <w:rPr>
                <w:rFonts w:hint="eastAsia"/>
                <w:color w:val="auto"/>
              </w:rPr>
              <w:t>月</w:t>
            </w:r>
            <w:r>
              <w:rPr>
                <w:rFonts w:hint="eastAsia"/>
                <w:color w:val="auto"/>
              </w:rPr>
              <w:t>26</w:t>
            </w:r>
            <w:r>
              <w:rPr>
                <w:rFonts w:hint="eastAsia"/>
                <w:color w:val="auto"/>
              </w:rPr>
              <w:t>日）</w:t>
            </w:r>
          </w:p>
        </w:tc>
      </w:tr>
      <w:tr>
        <w:trPr>
          <w:trHeight w:val="570" w:hRule="atLeast"/>
        </w:trPr>
        <w:tc>
          <w:tcPr>
            <w:tcW w:w="1419"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jc w:val="right"/>
              <w:rPr>
                <w:rFonts w:hint="eastAsia"/>
                <w:color w:val="auto"/>
              </w:rPr>
            </w:pPr>
            <w:r>
              <w:rPr>
                <w:rFonts w:hint="eastAsia"/>
                <w:color w:val="auto"/>
              </w:rPr>
              <w:t>１～２月</w:t>
            </w:r>
          </w:p>
        </w:tc>
        <w:tc>
          <w:tcPr>
            <w:tcW w:w="8208"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jc w:val="both"/>
              <w:rPr>
                <w:rFonts w:hint="eastAsia"/>
                <w:color w:val="auto"/>
              </w:rPr>
            </w:pPr>
            <w:r>
              <w:rPr>
                <w:rFonts w:hint="eastAsia"/>
                <w:color w:val="auto"/>
              </w:rPr>
              <w:t>・パブリックコメント実施（１月～２月）</w:t>
            </w:r>
          </w:p>
        </w:tc>
      </w:tr>
      <w:tr>
        <w:trPr>
          <w:trHeight w:val="570" w:hRule="atLeast"/>
        </w:trPr>
        <w:tc>
          <w:tcPr>
            <w:tcW w:w="1419"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jc w:val="right"/>
              <w:rPr>
                <w:rFonts w:hint="eastAsia"/>
                <w:color w:val="auto"/>
              </w:rPr>
            </w:pPr>
            <w:r>
              <w:rPr>
                <w:rFonts w:hint="eastAsia"/>
                <w:color w:val="auto"/>
              </w:rPr>
              <w:t>３月</w:t>
            </w:r>
          </w:p>
        </w:tc>
        <w:tc>
          <w:tcPr>
            <w:tcW w:w="8208" w:type="dxa"/>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pPr>
              <w:pStyle w:val="0"/>
              <w:widowControl w:val="0"/>
              <w:snapToGrid w:val="0"/>
              <w:jc w:val="both"/>
              <w:rPr>
                <w:rFonts w:hint="eastAsia"/>
                <w:color w:val="auto"/>
              </w:rPr>
            </w:pPr>
            <w:r>
              <w:rPr>
                <w:rFonts w:hint="eastAsia"/>
                <w:color w:val="auto"/>
              </w:rPr>
              <w:t>・第３回静岡県障害者施策推進協議会開催</w:t>
            </w:r>
            <w:r>
              <w:rPr>
                <w:rFonts w:hint="eastAsia"/>
                <w:color w:val="auto"/>
                <w:shd w:val="clear" w:color="auto" w:fill="FFFFFF"/>
              </w:rPr>
              <w:t>（３月</w:t>
            </w:r>
            <w:r>
              <w:rPr>
                <w:rFonts w:hint="eastAsia"/>
                <w:color w:val="auto"/>
                <w:shd w:val="clear" w:color="auto" w:fill="FFFFFF"/>
              </w:rPr>
              <w:t>28</w:t>
            </w:r>
            <w:r>
              <w:rPr>
                <w:rFonts w:hint="eastAsia"/>
                <w:color w:val="auto"/>
                <w:shd w:val="clear" w:color="auto" w:fill="FFFFFF"/>
              </w:rPr>
              <w:t>日）</w:t>
            </w:r>
          </w:p>
        </w:tc>
      </w:tr>
    </w:tbl>
    <w:p>
      <w:pPr>
        <w:pStyle w:val="0"/>
        <w:rPr>
          <w:rFonts w:hint="eastAsia"/>
          <w:color w:val="auto"/>
        </w:rPr>
      </w:pPr>
    </w:p>
    <w:p>
      <w:pPr>
        <w:pStyle w:val="2"/>
        <w:rPr>
          <w:rFonts w:hint="eastAsia"/>
          <w:sz w:val="32"/>
        </w:rPr>
      </w:pPr>
      <w:r>
        <w:rPr>
          <w:rFonts w:hint="default"/>
          <w:color w:val="auto"/>
          <w:sz w:val="32"/>
        </w:rPr>
        <w:br w:type="page"/>
      </w:r>
      <w:bookmarkStart w:id="178" w:name="_Toc503474141"/>
      <w:bookmarkEnd w:id="178"/>
      <w:r>
        <w:rPr>
          <w:rFonts w:hint="eastAsia"/>
          <w:sz w:val="32"/>
        </w:rPr>
        <w:t>資料５　「静岡県障害のある方の実態調査」の結果概要</w:t>
      </w:r>
    </w:p>
    <w:p>
      <w:pPr>
        <w:pStyle w:val="18"/>
        <w:rPr>
          <w:rFonts w:hint="eastAsia" w:ascii="ＭＳ ゴシック" w:hAnsi="ＭＳ ゴシック" w:eastAsia="ＭＳ ゴシック"/>
        </w:rPr>
      </w:pPr>
      <w:r>
        <w:rPr>
          <w:rFonts w:hint="eastAsia" w:ascii="ＭＳ ゴシック" w:hAnsi="ＭＳ ゴシック" w:eastAsia="ＭＳ ゴシック"/>
        </w:rPr>
        <w:t>（要旨）</w:t>
      </w:r>
    </w:p>
    <w:p>
      <w:pPr>
        <w:pStyle w:val="0"/>
        <w:numPr>
          <w:ilvl w:val="0"/>
          <w:numId w:val="132"/>
        </w:numPr>
        <w:rPr>
          <w:rFonts w:hint="eastAsia" w:ascii="ＭＳ 明朝" w:hAnsi="ＭＳ 明朝"/>
          <w:sz w:val="22"/>
        </w:rPr>
      </w:pPr>
      <w:r>
        <w:rPr>
          <w:rFonts w:hint="eastAsia" w:ascii="ＭＳ 明朝" w:hAnsi="ＭＳ 明朝"/>
          <w:sz w:val="22"/>
        </w:rPr>
        <w:t>県では、障害のある方の生活の実情と施策に対する意向等を把握し、第５次静岡県障害者計画（令和４年度～７年度）作成の基礎資料とするため、「静岡県障害のある方の実態調査」をとりまとめた。</w:t>
      </w:r>
    </w:p>
    <w:p>
      <w:pPr>
        <w:pStyle w:val="0"/>
        <w:numPr>
          <w:ilvl w:val="0"/>
          <w:numId w:val="132"/>
        </w:numPr>
        <w:rPr>
          <w:rFonts w:hint="eastAsia" w:ascii="ＭＳ 明朝" w:hAnsi="ＭＳ 明朝"/>
          <w:sz w:val="22"/>
        </w:rPr>
      </w:pPr>
      <w:r>
        <w:rPr>
          <w:rFonts w:hint="eastAsia" w:ascii="ＭＳ 明朝" w:hAnsi="ＭＳ 明朝"/>
          <w:sz w:val="22"/>
        </w:rPr>
        <w:t>これによると、防犯対策の推進やバリアフリー化等により「自分の住んでいる街が、障害のある人にとって安心して暮らせるところとだと思う方の割合」が前回調査と比べて約４ポイント増加している一方で、「差別や虐待を受けたことのある方の割合」は、２割弱で横ばいになっている。</w:t>
      </w:r>
    </w:p>
    <w:p>
      <w:pPr>
        <w:pStyle w:val="0"/>
        <w:numPr>
          <w:ilvl w:val="0"/>
          <w:numId w:val="132"/>
        </w:numPr>
        <w:rPr>
          <w:rFonts w:hint="eastAsia" w:ascii="ＭＳ 明朝" w:hAnsi="ＭＳ 明朝"/>
          <w:sz w:val="22"/>
        </w:rPr>
      </w:pPr>
      <w:r>
        <w:rPr>
          <w:rFonts w:hint="eastAsia" w:ascii="ＭＳ 明朝" w:hAnsi="ＭＳ 明朝"/>
          <w:sz w:val="22"/>
        </w:rPr>
        <w:t>また、「</w:t>
      </w:r>
      <w:r>
        <w:rPr>
          <w:rFonts w:hint="eastAsia" w:ascii="ＭＳ 明朝" w:hAnsi="ＭＳ 明朝"/>
          <w:sz w:val="22"/>
        </w:rPr>
        <w:t>70</w:t>
      </w:r>
      <w:r>
        <w:rPr>
          <w:rFonts w:hint="eastAsia" w:ascii="ＭＳ 明朝" w:hAnsi="ＭＳ 明朝"/>
          <w:sz w:val="22"/>
        </w:rPr>
        <w:t>歳以上の介助者の割合」が前回調査と比べて約４ポイント増加し、介助者の高齢化傾向が一層進んでいることに伴い、「今後心配なことは、親亡き後の生活についての割合」が一番多くなっている。</w:t>
      </w:r>
    </w:p>
    <w:p>
      <w:pPr>
        <w:pStyle w:val="0"/>
        <w:numPr>
          <w:ilvl w:val="0"/>
          <w:numId w:val="132"/>
        </w:numPr>
        <w:rPr>
          <w:rFonts w:hint="eastAsia" w:ascii="ＭＳ 明朝" w:hAnsi="ＭＳ 明朝"/>
          <w:sz w:val="22"/>
        </w:rPr>
      </w:pPr>
      <w:r>
        <w:rPr>
          <w:rFonts w:hint="eastAsia" w:ascii="ＭＳ 明朝" w:hAnsi="ＭＳ 明朝"/>
          <w:sz w:val="22"/>
        </w:rPr>
        <w:t>調査の結果は、現在作成中の「第５次静岡県障害者計画」に反映していく。</w:t>
      </w:r>
    </w:p>
    <w:p>
      <w:pPr>
        <w:pStyle w:val="0"/>
        <w:rPr>
          <w:rFonts w:hint="eastAsia"/>
          <w:sz w:val="22"/>
        </w:rPr>
      </w:pPr>
    </w:p>
    <w:p>
      <w:pPr>
        <w:pStyle w:val="0"/>
        <w:rPr>
          <w:rFonts w:hint="eastAsia" w:ascii="ＭＳ ゴシック" w:hAnsi="ＭＳ ゴシック" w:eastAsia="ＭＳ ゴシック"/>
          <w:sz w:val="22"/>
        </w:rPr>
      </w:pPr>
      <w:r>
        <w:rPr>
          <w:rFonts w:hint="eastAsia" w:ascii="ＭＳ ゴシック" w:hAnsi="ＭＳ ゴシック" w:eastAsia="ＭＳ ゴシック"/>
          <w:sz w:val="22"/>
        </w:rPr>
        <w:t>（調査の概要）</w:t>
      </w:r>
    </w:p>
    <w:p>
      <w:pPr>
        <w:pStyle w:val="0"/>
        <w:rPr>
          <w:rFonts w:hint="eastAsia" w:ascii="ＭＳ ゴシック" w:hAnsi="ＭＳ ゴシック" w:eastAsia="ＭＳ ゴシック"/>
          <w:sz w:val="22"/>
        </w:rPr>
      </w:pPr>
      <w:r>
        <w:rPr>
          <w:rFonts w:hint="eastAsia" w:ascii="ＭＳ ゴシック" w:hAnsi="ＭＳ ゴシック" w:eastAsia="ＭＳ ゴシック"/>
          <w:sz w:val="22"/>
        </w:rPr>
        <w:t>１　調査目的</w:t>
      </w:r>
    </w:p>
    <w:p>
      <w:pPr>
        <w:pStyle w:val="0"/>
        <w:ind w:left="227" w:leftChars="108" w:firstLine="220" w:firstLineChars="100"/>
        <w:rPr>
          <w:rFonts w:hint="eastAsia" w:ascii="ＭＳ 明朝" w:hAnsi="ＭＳ 明朝"/>
          <w:sz w:val="22"/>
        </w:rPr>
      </w:pPr>
      <w:r>
        <w:rPr>
          <w:rFonts w:hint="eastAsia" w:ascii="ＭＳ 明朝" w:hAnsi="ＭＳ 明朝"/>
          <w:sz w:val="22"/>
        </w:rPr>
        <w:t>本調査は、障害のある方の生活の実情と施策に対する意向等を把握し、第５次静岡県障害者計画作成の基礎資料とするために実施した。</w:t>
      </w:r>
    </w:p>
    <w:p>
      <w:pPr>
        <w:pStyle w:val="0"/>
        <w:rPr>
          <w:rFonts w:hint="eastAsia" w:ascii="ＭＳ ゴシック" w:hAnsi="ＭＳ ゴシック" w:eastAsia="ＭＳ ゴシック"/>
          <w:sz w:val="22"/>
        </w:rPr>
      </w:pPr>
      <w:r>
        <w:rPr>
          <w:rFonts w:hint="eastAsia" w:ascii="ＭＳ ゴシック" w:hAnsi="ＭＳ ゴシック" w:eastAsia="ＭＳ ゴシック"/>
          <w:sz w:val="22"/>
        </w:rPr>
        <w:t>２　調査内容</w:t>
      </w:r>
    </w:p>
    <w:p>
      <w:pPr>
        <w:pStyle w:val="0"/>
        <w:ind w:firstLine="440" w:firstLineChars="200"/>
        <w:rPr>
          <w:rFonts w:hint="eastAsia" w:ascii="ＭＳ 明朝" w:hAnsi="ＭＳ 明朝"/>
          <w:sz w:val="22"/>
        </w:rPr>
      </w:pPr>
      <w:r>
        <w:rPr>
          <w:rFonts w:hint="eastAsia"/>
        </w:rPr>
        <mc:AlternateContent>
          <mc:Choice Requires="wps">
            <w:drawing>
              <wp:anchor simplePos="0" relativeHeight="82" behindDoc="0" locked="0" layoutInCell="1" hidden="0" allowOverlap="1">
                <wp:simplePos x="0" y="0"/>
                <wp:positionH relativeFrom="column">
                  <wp:posOffset>86360</wp:posOffset>
                </wp:positionH>
                <wp:positionV relativeFrom="paragraph">
                  <wp:posOffset>219710</wp:posOffset>
                </wp:positionV>
                <wp:extent cx="6033770" cy="706755"/>
                <wp:effectExtent l="635" t="635" r="29845" b="10795"/>
                <wp:wrapNone/>
                <wp:docPr id="1094" name="Rectangle 396"/>
                <a:graphic xmlns:a="http://schemas.openxmlformats.org/drawingml/2006/main">
                  <a:graphicData uri="http://schemas.microsoft.com/office/word/2010/wordprocessingShape">
                    <wps:wsp>
                      <wps:cNvPr id="1094" name="Rectangle 396"/>
                      <wps:cNvSpPr>
                        <a:spLocks noChangeArrowheads="1"/>
                      </wps:cNvSpPr>
                      <wps:spPr>
                        <a:xfrm>
                          <a:off x="0" y="0"/>
                          <a:ext cx="6033770" cy="706755"/>
                        </a:xfrm>
                        <a:prstGeom prst="rect">
                          <a:avLst/>
                        </a:prstGeom>
                        <a:solidFill>
                          <a:srgbClr val="FFFFFF"/>
                        </a:solidFill>
                        <a:ln w="9525">
                          <a:solidFill>
                            <a:sysClr val="windowText" lastClr="000000"/>
                          </a:solidFill>
                          <a:miter/>
                        </a:ln>
                      </wps:spPr>
                      <wps:txbx>
                        <w:txbxContent>
                          <w:p>
                            <w:pPr>
                              <w:pStyle w:val="0"/>
                              <w:ind w:left="-2" w:leftChars="-1"/>
                              <w:rPr>
                                <w:rFonts w:hint="eastAsia" w:ascii="ＭＳ 明朝" w:hAnsi="ＭＳ 明朝"/>
                              </w:rPr>
                            </w:pPr>
                            <w:r>
                              <w:rPr>
                                <w:rFonts w:hint="eastAsia" w:ascii="ＭＳ 明朝" w:hAnsi="ＭＳ 明朝"/>
                              </w:rPr>
                              <w:t>【８分野】①あなたについて　②住まい・暮らし　③障害福祉サービス等の利用状況</w:t>
                            </w:r>
                          </w:p>
                          <w:p>
                            <w:pPr>
                              <w:pStyle w:val="0"/>
                              <w:ind w:left="-2" w:leftChars="-1" w:firstLine="1050" w:firstLineChars="500"/>
                              <w:rPr>
                                <w:rFonts w:hint="eastAsia" w:ascii="ＭＳ 明朝" w:hAnsi="ＭＳ 明朝"/>
                              </w:rPr>
                            </w:pPr>
                            <w:r>
                              <w:rPr>
                                <w:rFonts w:hint="eastAsia" w:ascii="ＭＳ 明朝" w:hAnsi="ＭＳ 明朝"/>
                              </w:rPr>
                              <w:t>④仕事や家計　⑤生活の環境や安全・安心　⑥社会参加　</w:t>
                            </w:r>
                          </w:p>
                          <w:p>
                            <w:pPr>
                              <w:pStyle w:val="0"/>
                              <w:ind w:left="-2" w:leftChars="-1" w:firstLine="1050" w:firstLineChars="500"/>
                              <w:rPr>
                                <w:rFonts w:hint="default" w:ascii="ＭＳ 明朝" w:hAnsi="ＭＳ 明朝"/>
                              </w:rPr>
                            </w:pPr>
                            <w:r>
                              <w:rPr>
                                <w:rFonts w:hint="eastAsia" w:ascii="ＭＳ 明朝" w:hAnsi="ＭＳ 明朝"/>
                              </w:rPr>
                              <w:t>⑦悩み事に対する相談　⑧その他（生活満足度、行政への希望）</w:t>
                            </w:r>
                          </w:p>
                        </w:txbxContent>
                      </wps:txbx>
                      <wps:bodyPr vertOverflow="overflow" horzOverflow="overflow" wrap="square" lIns="74295" tIns="8890" rIns="74295" bIns="8890" anchor="ctr" upright="1"/>
                    </wps:wsp>
                  </a:graphicData>
                </a:graphic>
              </wp:anchor>
            </w:drawing>
          </mc:Choice>
          <mc:Fallback>
            <w:pict>
              <v:rect id="Rectangle 396" style="margin-top:17.3pt;mso-position-vertical-relative:text;mso-position-horizontal-relative:text;v-text-anchor:middle;position:absolute;height:55.65pt;width:475.1pt;margin-left:6.8pt;z-index:82;" o:spid="_x0000_s1094" o:allowincell="t" o:allowoverlap="t" filled="t" fillcolor="#ffffff" stroked="t" strokecolor="#000000" strokeweight="0.75pt" o:spt="1">
                <v:fill/>
                <v:stroke filltype="solid"/>
                <v:textbox style="layout-flow:horizontal;" inset="2.0637499999999998mm,0.24694444444444438mm,2.0637499999999998mm,0.24694444444444438mm">
                  <w:txbxContent>
                    <w:p>
                      <w:pPr>
                        <w:pStyle w:val="0"/>
                        <w:ind w:left="-2" w:leftChars="-1"/>
                        <w:rPr>
                          <w:rFonts w:hint="eastAsia" w:ascii="ＭＳ 明朝" w:hAnsi="ＭＳ 明朝"/>
                        </w:rPr>
                      </w:pPr>
                      <w:r>
                        <w:rPr>
                          <w:rFonts w:hint="eastAsia" w:ascii="ＭＳ 明朝" w:hAnsi="ＭＳ 明朝"/>
                        </w:rPr>
                        <w:t>【８分野】①あなたについて　②住まい・暮らし　③障害福祉サービス等の利用状況</w:t>
                      </w:r>
                    </w:p>
                    <w:p>
                      <w:pPr>
                        <w:pStyle w:val="0"/>
                        <w:ind w:left="-2" w:leftChars="-1" w:firstLine="1050" w:firstLineChars="500"/>
                        <w:rPr>
                          <w:rFonts w:hint="eastAsia" w:ascii="ＭＳ 明朝" w:hAnsi="ＭＳ 明朝"/>
                        </w:rPr>
                      </w:pPr>
                      <w:r>
                        <w:rPr>
                          <w:rFonts w:hint="eastAsia" w:ascii="ＭＳ 明朝" w:hAnsi="ＭＳ 明朝"/>
                        </w:rPr>
                        <w:t>④仕事や家計　⑤生活の環境や安全・安心　⑥社会参加　</w:t>
                      </w:r>
                    </w:p>
                    <w:p>
                      <w:pPr>
                        <w:pStyle w:val="0"/>
                        <w:ind w:left="-2" w:leftChars="-1" w:firstLine="1050" w:firstLineChars="500"/>
                        <w:rPr>
                          <w:rFonts w:hint="default" w:ascii="ＭＳ 明朝" w:hAnsi="ＭＳ 明朝"/>
                        </w:rPr>
                      </w:pPr>
                      <w:r>
                        <w:rPr>
                          <w:rFonts w:hint="eastAsia" w:ascii="ＭＳ 明朝" w:hAnsi="ＭＳ 明朝"/>
                        </w:rPr>
                        <w:t>⑦悩み事に対する相談　⑧その他（生活満足度、行政への希望）</w:t>
                      </w:r>
                    </w:p>
                  </w:txbxContent>
                </v:textbox>
                <v:imagedata o:title=""/>
                <w10:wrap type="none" anchorx="text" anchory="text"/>
              </v:rect>
            </w:pict>
          </mc:Fallback>
        </mc:AlternateContent>
      </w:r>
      <w:r>
        <w:rPr>
          <w:rFonts w:hint="eastAsia" w:ascii="ＭＳ 明朝" w:hAnsi="ＭＳ 明朝"/>
          <w:sz w:val="22"/>
        </w:rPr>
        <w:t>障害のある方の生活の実情と施策に対する意向等の８分野、</w:t>
      </w:r>
      <w:r>
        <w:rPr>
          <w:rFonts w:hint="eastAsia" w:ascii="ＭＳ 明朝" w:hAnsi="ＭＳ 明朝"/>
          <w:sz w:val="22"/>
        </w:rPr>
        <w:t>38</w:t>
      </w:r>
      <w:r>
        <w:rPr>
          <w:rFonts w:hint="eastAsia" w:ascii="ＭＳ 明朝" w:hAnsi="ＭＳ 明朝"/>
          <w:sz w:val="22"/>
        </w:rPr>
        <w:t>項目</w:t>
      </w:r>
    </w:p>
    <w:p>
      <w:pPr>
        <w:pStyle w:val="0"/>
        <w:rPr>
          <w:rFonts w:hint="eastAsia"/>
          <w:sz w:val="22"/>
        </w:rPr>
      </w:pPr>
    </w:p>
    <w:p>
      <w:pPr>
        <w:pStyle w:val="0"/>
        <w:rPr>
          <w:rFonts w:hint="eastAsia"/>
          <w:sz w:val="22"/>
        </w:rPr>
      </w:pPr>
    </w:p>
    <w:p>
      <w:pPr>
        <w:pStyle w:val="0"/>
        <w:rPr>
          <w:rFonts w:hint="eastAsia" w:ascii="ＭＳ ゴシック" w:hAnsi="ＭＳ ゴシック" w:eastAsia="ＭＳ ゴシック"/>
          <w:sz w:val="22"/>
        </w:rPr>
      </w:pPr>
    </w:p>
    <w:p>
      <w:pPr>
        <w:pStyle w:val="0"/>
        <w:rPr>
          <w:rFonts w:hint="eastAsia" w:ascii="ＭＳ ゴシック" w:hAnsi="ＭＳ ゴシック" w:eastAsia="ＭＳ ゴシック"/>
          <w:sz w:val="22"/>
        </w:rPr>
      </w:pPr>
      <w:r>
        <w:rPr>
          <w:rFonts w:hint="eastAsia" w:ascii="ＭＳ ゴシック" w:hAnsi="ＭＳ ゴシック" w:eastAsia="ＭＳ ゴシック"/>
          <w:sz w:val="22"/>
        </w:rPr>
        <w:t>３　調査方法</w:t>
      </w:r>
    </w:p>
    <w:p>
      <w:pPr>
        <w:pStyle w:val="0"/>
        <w:ind w:firstLine="440" w:firstLineChars="200"/>
        <w:rPr>
          <w:rFonts w:hint="eastAsia" w:ascii="ＭＳ 明朝" w:hAnsi="ＭＳ 明朝"/>
          <w:sz w:val="22"/>
        </w:rPr>
      </w:pPr>
      <w:r>
        <w:rPr>
          <w:rFonts w:hint="eastAsia" w:ascii="ＭＳ 明朝" w:hAnsi="ＭＳ 明朝"/>
          <w:sz w:val="22"/>
        </w:rPr>
        <w:t>（１）調査対象</w:t>
      </w:r>
    </w:p>
    <w:p>
      <w:pPr>
        <w:pStyle w:val="0"/>
        <w:ind w:firstLine="880" w:firstLineChars="400"/>
        <w:rPr>
          <w:rFonts w:hint="eastAsia" w:ascii="ＭＳ 明朝" w:hAnsi="ＭＳ 明朝"/>
          <w:sz w:val="22"/>
        </w:rPr>
      </w:pPr>
      <w:r>
        <w:rPr>
          <w:rFonts w:hint="eastAsia" w:ascii="ＭＳ 明朝" w:hAnsi="ＭＳ 明朝"/>
          <w:sz w:val="22"/>
        </w:rPr>
        <w:t>・身体障害のある方、知的障害のある方への調査</w:t>
      </w:r>
    </w:p>
    <w:p>
      <w:pPr>
        <w:pStyle w:val="0"/>
        <w:ind w:left="1103" w:leftChars="525"/>
        <w:rPr>
          <w:rFonts w:hint="eastAsia" w:ascii="ＭＳ 明朝" w:hAnsi="ＭＳ 明朝"/>
          <w:sz w:val="22"/>
        </w:rPr>
      </w:pPr>
      <w:r>
        <w:rPr>
          <w:rFonts w:hint="eastAsia"/>
          <w:sz w:val="22"/>
        </w:rPr>
        <w:t>県内の身体障害者手帳所持者及び療育手帳所持者から無作為に抽出し、郵便にて調査票を配布・回収</w:t>
      </w:r>
    </w:p>
    <w:p>
      <w:pPr>
        <w:pStyle w:val="0"/>
        <w:ind w:firstLine="880" w:firstLineChars="400"/>
        <w:rPr>
          <w:rFonts w:hint="eastAsia" w:ascii="ＭＳ 明朝" w:hAnsi="ＭＳ 明朝"/>
          <w:sz w:val="22"/>
        </w:rPr>
      </w:pPr>
      <w:r>
        <w:rPr>
          <w:rFonts w:hint="eastAsia" w:ascii="ＭＳ 明朝" w:hAnsi="ＭＳ 明朝"/>
          <w:sz w:val="22"/>
        </w:rPr>
        <w:t>・精神障害のある方への調査</w:t>
      </w:r>
    </w:p>
    <w:p>
      <w:pPr>
        <w:pStyle w:val="0"/>
        <w:ind w:left="1103" w:leftChars="525"/>
        <w:rPr>
          <w:rFonts w:hint="eastAsia" w:ascii="ＭＳ 明朝" w:hAnsi="ＭＳ 明朝"/>
          <w:sz w:val="22"/>
        </w:rPr>
      </w:pPr>
      <w:r>
        <w:rPr>
          <w:rFonts w:hint="eastAsia"/>
          <w:sz w:val="22"/>
        </w:rPr>
        <w:t>県内の精神科医療機関の協力を得て、各医療機関を通じて入通院者に配布し、郵便にて回収</w:t>
      </w:r>
    </w:p>
    <w:p>
      <w:pPr>
        <w:pStyle w:val="0"/>
        <w:ind w:firstLine="440" w:firstLineChars="200"/>
        <w:rPr>
          <w:rFonts w:hint="eastAsia" w:ascii="ＭＳ 明朝" w:hAnsi="ＭＳ 明朝"/>
          <w:sz w:val="22"/>
        </w:rPr>
      </w:pPr>
      <w:r>
        <w:rPr>
          <w:rFonts w:hint="eastAsia" w:ascii="ＭＳ 明朝" w:hAnsi="ＭＳ 明朝"/>
          <w:sz w:val="22"/>
        </w:rPr>
        <w:t>（２）配</w:t>
      </w:r>
      <w:r>
        <w:rPr>
          <w:rFonts w:hint="eastAsia" w:ascii="ＭＳ 明朝" w:hAnsi="ＭＳ 明朝"/>
          <w:sz w:val="22"/>
        </w:rPr>
        <w:t xml:space="preserve"> </w:t>
      </w:r>
      <w:r>
        <w:rPr>
          <w:rFonts w:hint="eastAsia" w:ascii="ＭＳ 明朝" w:hAnsi="ＭＳ 明朝"/>
          <w:sz w:val="22"/>
        </w:rPr>
        <w:t>布</w:t>
      </w:r>
      <w:r>
        <w:rPr>
          <w:rFonts w:hint="eastAsia" w:ascii="ＭＳ 明朝" w:hAnsi="ＭＳ 明朝"/>
          <w:sz w:val="22"/>
        </w:rPr>
        <w:t xml:space="preserve"> </w:t>
      </w:r>
      <w:r>
        <w:rPr>
          <w:rFonts w:hint="eastAsia" w:ascii="ＭＳ 明朝" w:hAnsi="ＭＳ 明朝"/>
          <w:sz w:val="22"/>
        </w:rPr>
        <w:t>数　</w:t>
      </w:r>
      <w:r>
        <w:rPr>
          <w:rFonts w:hint="eastAsia" w:ascii="ＭＳ 明朝" w:hAnsi="ＭＳ 明朝"/>
          <w:sz w:val="22"/>
        </w:rPr>
        <w:t>10,000</w:t>
      </w:r>
      <w:r>
        <w:rPr>
          <w:rFonts w:hint="eastAsia" w:ascii="ＭＳ 明朝" w:hAnsi="ＭＳ 明朝"/>
          <w:sz w:val="22"/>
        </w:rPr>
        <w:t>部　（身体障害</w:t>
      </w:r>
      <w:r>
        <w:rPr>
          <w:rFonts w:hint="eastAsia" w:ascii="ＭＳ 明朝" w:hAnsi="ＭＳ 明朝"/>
          <w:sz w:val="22"/>
        </w:rPr>
        <w:t xml:space="preserve"> 4,000</w:t>
      </w:r>
      <w:r>
        <w:rPr>
          <w:rFonts w:hint="eastAsia" w:ascii="ＭＳ 明朝" w:hAnsi="ＭＳ 明朝"/>
          <w:sz w:val="22"/>
        </w:rPr>
        <w:t>人、知的障害</w:t>
      </w:r>
      <w:r>
        <w:rPr>
          <w:rFonts w:hint="eastAsia" w:ascii="ＭＳ 明朝" w:hAnsi="ＭＳ 明朝"/>
          <w:sz w:val="22"/>
        </w:rPr>
        <w:t xml:space="preserve"> 3,000</w:t>
      </w:r>
      <w:r>
        <w:rPr>
          <w:rFonts w:hint="eastAsia" w:ascii="ＭＳ 明朝" w:hAnsi="ＭＳ 明朝"/>
          <w:sz w:val="22"/>
        </w:rPr>
        <w:t>人、精神障害</w:t>
      </w:r>
      <w:r>
        <w:rPr>
          <w:rFonts w:hint="eastAsia" w:ascii="ＭＳ 明朝" w:hAnsi="ＭＳ 明朝"/>
          <w:sz w:val="22"/>
        </w:rPr>
        <w:t xml:space="preserve"> 3,000</w:t>
      </w:r>
      <w:r>
        <w:rPr>
          <w:rFonts w:hint="eastAsia" w:ascii="ＭＳ 明朝" w:hAnsi="ＭＳ 明朝"/>
          <w:sz w:val="22"/>
        </w:rPr>
        <w:t>人）</w:t>
      </w:r>
    </w:p>
    <w:p>
      <w:pPr>
        <w:pStyle w:val="0"/>
        <w:ind w:firstLine="440" w:firstLineChars="200"/>
        <w:rPr>
          <w:rFonts w:hint="eastAsia" w:ascii="ＭＳ 明朝" w:hAnsi="ＭＳ 明朝"/>
          <w:sz w:val="22"/>
        </w:rPr>
      </w:pPr>
      <w:r>
        <w:rPr>
          <w:rFonts w:hint="eastAsia" w:ascii="ＭＳ 明朝" w:hAnsi="ＭＳ 明朝"/>
          <w:sz w:val="22"/>
        </w:rPr>
        <w:t>（３）調査期間　令和２年９月～令和２年</w:t>
      </w:r>
      <w:r>
        <w:rPr>
          <w:rFonts w:hint="eastAsia" w:ascii="ＭＳ 明朝" w:hAnsi="ＭＳ 明朝"/>
          <w:sz w:val="22"/>
        </w:rPr>
        <w:t>11</w:t>
      </w:r>
      <w:r>
        <w:rPr>
          <w:rFonts w:hint="eastAsia" w:ascii="ＭＳ 明朝" w:hAnsi="ＭＳ 明朝"/>
          <w:sz w:val="22"/>
        </w:rPr>
        <w:t>月（約３か月間）</w:t>
      </w:r>
    </w:p>
    <w:p>
      <w:pPr>
        <w:pStyle w:val="0"/>
        <w:rPr>
          <w:rFonts w:hint="eastAsia" w:ascii="ＭＳ ゴシック" w:hAnsi="ＭＳ ゴシック" w:eastAsia="ＭＳ ゴシック"/>
          <w:sz w:val="22"/>
        </w:rPr>
      </w:pPr>
      <w:r>
        <w:rPr>
          <w:rFonts w:hint="eastAsia" w:ascii="ＭＳ ゴシック" w:hAnsi="ＭＳ ゴシック" w:eastAsia="ＭＳ ゴシック"/>
          <w:sz w:val="22"/>
        </w:rPr>
        <w:t>４　回収結果</w:t>
      </w:r>
    </w:p>
    <w:tbl>
      <w:tblPr>
        <w:tblStyle w:val="11"/>
        <w:tblW w:w="0" w:type="auto"/>
        <w:tblInd w:w="519" w:type="dxa"/>
        <w:tblLayout w:type="fixed"/>
        <w:tblCellMar>
          <w:left w:w="99" w:type="dxa"/>
          <w:right w:w="99" w:type="dxa"/>
        </w:tblCellMar>
        <w:tblLook w:firstRow="0" w:lastRow="0" w:firstColumn="0" w:lastColumn="0" w:noHBand="1" w:noVBand="1" w:val="0600"/>
      </w:tblPr>
      <w:tblGrid>
        <w:gridCol w:w="2409"/>
        <w:gridCol w:w="3343"/>
        <w:gridCol w:w="3343"/>
      </w:tblGrid>
      <w:tr>
        <w:trPr>
          <w:trHeight w:val="363" w:hRule="atLeast"/>
        </w:trPr>
        <w:tc>
          <w:tcPr>
            <w:tcW w:w="2409" w:type="dxa"/>
            <w:tcBorders>
              <w:top w:val="single" w:color="auto" w:sz="4" w:space="0"/>
              <w:left w:val="single" w:color="auto" w:sz="4" w:space="0"/>
              <w:bottom w:val="single" w:color="auto" w:sz="4" w:space="0"/>
              <w:right w:val="single" w:color="auto" w:sz="4" w:space="0"/>
              <w:tl2br w:val="single" w:color="auto" w:sz="4" w:space="0"/>
              <w:tr2bl w:val="none" w:color="auto" w:sz="0" w:space="0"/>
            </w:tcBorders>
            <w:vAlign w:val="center"/>
          </w:tcPr>
          <w:p>
            <w:pPr>
              <w:pStyle w:val="0"/>
              <w:widowControl w:val="1"/>
              <w:ind w:left="330" w:leftChars="157"/>
              <w:jc w:val="center"/>
              <w:rPr>
                <w:rFonts w:hint="default" w:ascii="ＭＳ 明朝" w:hAnsi="ＭＳ 明朝"/>
                <w:kern w:val="0"/>
                <w:sz w:val="22"/>
              </w:rPr>
            </w:pPr>
          </w:p>
        </w:tc>
        <w:tc>
          <w:tcPr>
            <w:tcW w:w="334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left="330" w:leftChars="157"/>
              <w:jc w:val="center"/>
              <w:rPr>
                <w:rFonts w:hint="eastAsia" w:ascii="ＭＳ 明朝" w:hAnsi="ＭＳ 明朝"/>
                <w:kern w:val="0"/>
                <w:sz w:val="22"/>
              </w:rPr>
            </w:pPr>
            <w:r>
              <w:rPr>
                <w:rFonts w:hint="eastAsia" w:ascii="ＭＳ 明朝" w:hAnsi="ＭＳ 明朝"/>
                <w:kern w:val="0"/>
                <w:sz w:val="22"/>
              </w:rPr>
              <w:t>令和２年度調査</w:t>
            </w:r>
          </w:p>
        </w:tc>
        <w:tc>
          <w:tcPr>
            <w:tcW w:w="334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left="330" w:leftChars="157"/>
              <w:jc w:val="center"/>
              <w:rPr>
                <w:rFonts w:hint="eastAsia" w:ascii="ＭＳ 明朝" w:hAnsi="ＭＳ 明朝"/>
                <w:kern w:val="0"/>
                <w:sz w:val="22"/>
              </w:rPr>
            </w:pPr>
            <w:r>
              <w:rPr>
                <w:rFonts w:hint="eastAsia" w:ascii="ＭＳ 明朝" w:hAnsi="ＭＳ 明朝"/>
                <w:kern w:val="0"/>
                <w:sz w:val="22"/>
              </w:rPr>
              <w:t>前回調査（</w:t>
            </w:r>
            <w:r>
              <w:rPr>
                <w:rFonts w:hint="eastAsia" w:ascii="ＭＳ 明朝" w:hAnsi="ＭＳ 明朝"/>
                <w:kern w:val="0"/>
                <w:sz w:val="22"/>
              </w:rPr>
              <w:t>H28</w:t>
            </w:r>
            <w:r>
              <w:rPr>
                <w:rFonts w:hint="eastAsia" w:ascii="ＭＳ 明朝" w:hAnsi="ＭＳ 明朝"/>
                <w:kern w:val="0"/>
                <w:sz w:val="22"/>
              </w:rPr>
              <w:t>）</w:t>
            </w:r>
          </w:p>
        </w:tc>
      </w:tr>
      <w:tr>
        <w:trPr>
          <w:trHeight w:val="363" w:hRule="atLeast"/>
        </w:trPr>
        <w:tc>
          <w:tcPr>
            <w:tcW w:w="24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ind w:left="330" w:leftChars="157"/>
              <w:jc w:val="center"/>
              <w:rPr>
                <w:rFonts w:hint="default" w:ascii="ＭＳ 明朝" w:hAnsi="ＭＳ 明朝"/>
                <w:kern w:val="0"/>
                <w:sz w:val="22"/>
              </w:rPr>
            </w:pPr>
            <w:r>
              <w:rPr>
                <w:rFonts w:hint="eastAsia" w:ascii="ＭＳ 明朝" w:hAnsi="ＭＳ 明朝"/>
                <w:kern w:val="0"/>
                <w:sz w:val="22"/>
              </w:rPr>
              <w:t>発送数</w:t>
            </w:r>
          </w:p>
        </w:tc>
        <w:tc>
          <w:tcPr>
            <w:tcW w:w="334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left="330" w:leftChars="157"/>
              <w:jc w:val="center"/>
              <w:rPr>
                <w:rFonts w:hint="default" w:ascii="ＭＳ 明朝" w:hAnsi="ＭＳ 明朝"/>
                <w:kern w:val="0"/>
                <w:sz w:val="22"/>
              </w:rPr>
            </w:pPr>
            <w:r>
              <w:rPr>
                <w:rFonts w:hint="eastAsia" w:ascii="ＭＳ 明朝" w:hAnsi="ＭＳ 明朝"/>
                <w:kern w:val="0"/>
                <w:sz w:val="22"/>
              </w:rPr>
              <w:t>10,000</w:t>
            </w:r>
            <w:r>
              <w:rPr>
                <w:rFonts w:hint="eastAsia" w:ascii="ＭＳ 明朝" w:hAnsi="ＭＳ 明朝"/>
                <w:kern w:val="0"/>
                <w:sz w:val="22"/>
              </w:rPr>
              <w:t>票</w:t>
            </w:r>
          </w:p>
        </w:tc>
        <w:tc>
          <w:tcPr>
            <w:tcW w:w="334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widowControl w:val="1"/>
              <w:ind w:left="330" w:leftChars="157"/>
              <w:jc w:val="center"/>
              <w:rPr>
                <w:rFonts w:hint="eastAsia" w:ascii="ＭＳ 明朝" w:hAnsi="ＭＳ 明朝"/>
                <w:kern w:val="0"/>
                <w:sz w:val="22"/>
              </w:rPr>
            </w:pPr>
            <w:r>
              <w:rPr>
                <w:rFonts w:hint="eastAsia" w:ascii="ＭＳ 明朝" w:hAnsi="ＭＳ 明朝"/>
                <w:kern w:val="0"/>
                <w:sz w:val="22"/>
              </w:rPr>
              <w:t>10,000</w:t>
            </w:r>
            <w:r>
              <w:rPr>
                <w:rFonts w:hint="eastAsia" w:ascii="ＭＳ 明朝" w:hAnsi="ＭＳ 明朝"/>
                <w:kern w:val="0"/>
                <w:sz w:val="22"/>
              </w:rPr>
              <w:t>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240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ind w:left="330" w:leftChars="157"/>
              <w:jc w:val="center"/>
              <w:rPr>
                <w:rFonts w:hint="eastAsia" w:ascii="ＭＳ 明朝" w:hAnsi="ＭＳ 明朝"/>
                <w:sz w:val="22"/>
              </w:rPr>
            </w:pPr>
            <w:r>
              <w:rPr>
                <w:rFonts w:hint="eastAsia" w:ascii="ＭＳ 明朝" w:hAnsi="ＭＳ 明朝"/>
                <w:kern w:val="0"/>
                <w:sz w:val="22"/>
              </w:rPr>
              <w:t>回収数（回収率）</w:t>
            </w:r>
          </w:p>
        </w:tc>
        <w:tc>
          <w:tcPr>
            <w:tcW w:w="334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ind w:left="330" w:leftChars="157"/>
              <w:jc w:val="center"/>
              <w:rPr>
                <w:rFonts w:hint="eastAsia" w:ascii="ＭＳ 明朝" w:hAnsi="ＭＳ 明朝"/>
                <w:sz w:val="22"/>
              </w:rPr>
            </w:pPr>
            <w:r>
              <w:rPr>
                <w:rFonts w:hint="eastAsia" w:ascii="ＭＳ 明朝" w:hAnsi="ＭＳ 明朝"/>
                <w:kern w:val="0"/>
                <w:sz w:val="22"/>
              </w:rPr>
              <w:t>4,615</w:t>
            </w:r>
            <w:r>
              <w:rPr>
                <w:rFonts w:hint="eastAsia" w:ascii="ＭＳ 明朝" w:hAnsi="ＭＳ 明朝"/>
                <w:kern w:val="0"/>
                <w:sz w:val="22"/>
              </w:rPr>
              <w:t>票（</w:t>
            </w:r>
            <w:r>
              <w:rPr>
                <w:rFonts w:hint="eastAsia" w:ascii="ＭＳ 明朝" w:hAnsi="ＭＳ 明朝"/>
                <w:kern w:val="0"/>
                <w:sz w:val="22"/>
              </w:rPr>
              <w:t>46.2%</w:t>
            </w:r>
            <w:r>
              <w:rPr>
                <w:rFonts w:hint="eastAsia" w:ascii="ＭＳ 明朝" w:hAnsi="ＭＳ 明朝"/>
                <w:kern w:val="0"/>
                <w:sz w:val="22"/>
              </w:rPr>
              <w:t>）</w:t>
            </w:r>
          </w:p>
        </w:tc>
        <w:tc>
          <w:tcPr>
            <w:tcW w:w="334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ind w:left="330" w:leftChars="157"/>
              <w:jc w:val="center"/>
              <w:rPr>
                <w:rFonts w:hint="eastAsia" w:ascii="ＭＳ 明朝" w:hAnsi="ＭＳ 明朝"/>
                <w:kern w:val="0"/>
                <w:sz w:val="22"/>
              </w:rPr>
            </w:pPr>
            <w:r>
              <w:rPr>
                <w:rFonts w:hint="eastAsia" w:ascii="ＭＳ 明朝" w:hAnsi="ＭＳ 明朝"/>
                <w:kern w:val="0"/>
                <w:sz w:val="22"/>
              </w:rPr>
              <w:t>4,389</w:t>
            </w:r>
            <w:r>
              <w:rPr>
                <w:rFonts w:hint="eastAsia" w:ascii="ＭＳ 明朝" w:hAnsi="ＭＳ 明朝"/>
                <w:kern w:val="0"/>
                <w:sz w:val="22"/>
              </w:rPr>
              <w:t>票（</w:t>
            </w:r>
            <w:r>
              <w:rPr>
                <w:rFonts w:hint="eastAsia" w:ascii="ＭＳ 明朝" w:hAnsi="ＭＳ 明朝"/>
                <w:kern w:val="0"/>
                <w:sz w:val="22"/>
              </w:rPr>
              <w:t>43.9%</w:t>
            </w:r>
            <w:r>
              <w:rPr>
                <w:rFonts w:hint="eastAsia" w:ascii="ＭＳ 明朝" w:hAnsi="ＭＳ 明朝"/>
                <w:kern w:val="0"/>
                <w:sz w:val="22"/>
              </w:rPr>
              <w:t>）</w:t>
            </w:r>
          </w:p>
        </w:tc>
      </w:tr>
    </w:tbl>
    <w:p>
      <w:pPr>
        <w:pStyle w:val="0"/>
        <w:ind w:left="330" w:leftChars="157"/>
        <w:rPr>
          <w:rFonts w:hint="eastAsia" w:ascii="ＭＳ 明朝" w:hAnsi="ＭＳ 明朝"/>
          <w:sz w:val="24"/>
        </w:rPr>
      </w:pPr>
    </w:p>
    <w:tbl>
      <w:tblPr>
        <w:tblStyle w:val="11"/>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0" w:lastRow="0" w:firstColumn="0" w:lastColumn="0" w:noHBand="1" w:noVBand="1" w:val="0600"/>
      </w:tblPr>
      <w:tblGrid>
        <w:gridCol w:w="6825"/>
        <w:gridCol w:w="1224"/>
        <w:gridCol w:w="559"/>
        <w:gridCol w:w="1263"/>
      </w:tblGrid>
      <w:tr>
        <w:trPr>
          <w:trHeight w:val="731" w:hRule="atLeast"/>
        </w:trPr>
        <w:tc>
          <w:tcPr>
            <w:tcW w:w="6825" w:type="dxa"/>
            <w:tcBorders>
              <w:top w:val="double" w:color="auto" w:sz="4" w:space="0"/>
              <w:left w:val="double" w:color="auto" w:sz="4" w:space="0"/>
              <w:bottom w:val="double" w:color="auto" w:sz="4" w:space="0"/>
              <w:right w:val="double" w:color="auto" w:sz="4" w:space="0"/>
              <w:tl2br w:val="nil"/>
              <w:tr2bl w:val="nil"/>
            </w:tcBorders>
            <w:shd w:val="clear" w:color="auto" w:fill="auto"/>
            <w:vAlign w:val="center"/>
          </w:tcPr>
          <w:p>
            <w:pPr>
              <w:pStyle w:val="0"/>
              <w:snapToGrid w:val="0"/>
              <w:rPr>
                <w:rFonts w:hint="eastAsia" w:ascii="ＭＳ ゴシック" w:hAnsi="ＭＳ ゴシック" w:eastAsia="ＭＳ ゴシック"/>
                <w:sz w:val="24"/>
              </w:rPr>
            </w:pPr>
            <w:r>
              <w:rPr>
                <w:rFonts w:hint="eastAsia" w:ascii="ＭＳ ゴシック" w:hAnsi="ＭＳ ゴシック" w:eastAsia="ＭＳ ゴシック"/>
                <w:sz w:val="24"/>
              </w:rPr>
              <w:t>自分の住んでいる街が、障害のある人にとって安心して暮らせるところだと思う障害のある方の割合</w:t>
            </w:r>
          </w:p>
        </w:tc>
        <w:tc>
          <w:tcPr>
            <w:tcW w:w="1224" w:type="dxa"/>
            <w:tcBorders>
              <w:top w:val="nil"/>
              <w:left w:val="double" w:color="auto" w:sz="4" w:space="0"/>
              <w:bottom w:val="nil"/>
              <w:right w:val="nil"/>
              <w:tl2br w:val="nil"/>
              <w:tr2bl w:val="nil"/>
            </w:tcBorders>
            <w:shd w:val="clear" w:color="auto" w:fill="auto"/>
            <w:vAlign w:val="center"/>
          </w:tcPr>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H28</w:t>
            </w:r>
            <w:r>
              <w:rPr>
                <w:rFonts w:hint="eastAsia" w:ascii="ＭＳ ゴシック" w:hAnsi="ＭＳ ゴシック" w:eastAsia="ＭＳ ゴシック"/>
                <w:sz w:val="24"/>
              </w:rPr>
              <w:t>調査</w:t>
            </w:r>
          </w:p>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64.7%</w:t>
            </w:r>
          </w:p>
        </w:tc>
        <w:tc>
          <w:tcPr>
            <w:tcW w:w="559" w:type="dxa"/>
            <w:tcBorders>
              <w:top w:val="nil"/>
              <w:left w:val="nil"/>
              <w:bottom w:val="nil"/>
              <w:right w:val="nil"/>
              <w:tl2br w:val="nil"/>
              <w:tr2bl w:val="nil"/>
            </w:tcBorders>
            <w:shd w:val="clear" w:color="auto" w:fill="auto"/>
            <w:vAlign w:val="top"/>
          </w:tcPr>
          <w:p>
            <w:pPr>
              <w:pStyle w:val="0"/>
              <w:snapToGrid w:val="0"/>
              <w:jc w:val="center"/>
              <w:rPr>
                <w:rFonts w:hint="eastAsia" w:ascii="ＭＳ ゴシック" w:hAnsi="ＭＳ ゴシック" w:eastAsia="ＭＳ ゴシック"/>
                <w:sz w:val="24"/>
              </w:rPr>
            </w:pPr>
          </w:p>
          <w:p>
            <w:pPr>
              <w:pStyle w:val="0"/>
              <w:snapToGrid w:val="0"/>
              <w:rPr>
                <w:rFonts w:hint="eastAsia" w:ascii="ＭＳ ゴシック" w:hAnsi="ＭＳ ゴシック" w:eastAsia="ＭＳ ゴシック"/>
                <w:sz w:val="24"/>
              </w:rPr>
            </w:pPr>
            <w:r>
              <w:rPr>
                <w:rFonts w:hint="default" w:ascii="ＭＳ ゴシック" w:hAnsi="ＭＳ ゴシック" w:eastAsia="ＭＳ ゴシック"/>
                <w:sz w:val="24"/>
              </w:rPr>
              <mc:AlternateContent>
                <mc:Choice Requires="wps">
                  <w:drawing>
                    <wp:inline>
                      <wp:extent cx="200025" cy="228600"/>
                      <wp:effectExtent l="635" t="1270" r="29845" b="11430"/>
                      <wp:docPr id="1095" name="AutoShape 670"/>
                      <a:graphic xmlns:a="http://schemas.openxmlformats.org/drawingml/2006/main">
                        <a:graphicData uri="http://schemas.microsoft.com/office/word/2010/wordprocessingShape">
                          <wps:wsp>
                            <wps:cNvPr id="1095" name="AutoShape 670"/>
                            <wps:cNvSpPr>
                              <a:spLocks noRot="1" noMove="1" noResize="1" noChangeArrowheads="1"/>
                            </wps:cNvSpPr>
                            <wps:spPr>
                              <a:xfrm>
                                <a:off x="0" y="0"/>
                                <a:ext cx="200025" cy="228600"/>
                              </a:xfrm>
                              <a:prstGeom prst="rightArrow">
                                <a:avLst>
                                  <a:gd name="adj1" fmla="val 50000"/>
                                  <a:gd name="adj2" fmla="val 48889"/>
                                </a:avLst>
                              </a:prstGeom>
                              <a:solidFill>
                                <a:srgbClr val="C0C0C0"/>
                              </a:solidFill>
                              <a:ln w="9525">
                                <a:solidFill>
                                  <a:sysClr val="windowText" lastClr="000000"/>
                                </a:solidFill>
                                <a:miter/>
                              </a:ln>
                            </wps:spPr>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70" style="height:18pt;width:15.75pt;" o:spid="_x0000_s1095" filled="t" fillcolor="#c0c0c0" stroked="t" strokecolor="#000000" strokeweight="0.75pt" o:spt="13" type="#_x0000_t13" adj="11040,5400">
                      <v:fill/>
                      <v:stroke filltype="solid"/>
                      <v:textbox style="layout-flow:horizontal;"/>
                      <v:imagedata o:title=""/>
                      <o:lock v:ext="edit" position="t" rotation="t"/>
                      <w10:anchorlock/>
                    </v:shape>
                  </w:pict>
                </mc:Fallback>
              </mc:AlternateContent>
            </w:r>
          </w:p>
        </w:tc>
        <w:tc>
          <w:tcPr>
            <w:tcW w:w="1263" w:type="dxa"/>
            <w:tcBorders>
              <w:top w:val="nil"/>
              <w:left w:val="nil"/>
              <w:bottom w:val="nil"/>
              <w:right w:val="nil"/>
              <w:tl2br w:val="nil"/>
              <w:tr2bl w:val="nil"/>
            </w:tcBorders>
            <w:shd w:val="clear" w:color="auto" w:fill="auto"/>
            <w:vAlign w:val="center"/>
          </w:tcPr>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R2</w:t>
            </w:r>
            <w:r>
              <w:rPr>
                <w:rFonts w:hint="eastAsia" w:ascii="ＭＳ ゴシック" w:hAnsi="ＭＳ ゴシック" w:eastAsia="ＭＳ ゴシック"/>
                <w:sz w:val="24"/>
              </w:rPr>
              <w:t>調査</w:t>
            </w:r>
          </w:p>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68.4%</w:t>
            </w:r>
          </w:p>
        </w:tc>
      </w:tr>
    </w:tbl>
    <w:p>
      <w:pPr>
        <w:pStyle w:val="0"/>
        <w:rPr>
          <w:rFonts w:hint="eastAsia" w:ascii="ＭＳ 明朝" w:hAnsi="ＭＳ 明朝"/>
          <w:sz w:val="24"/>
        </w:rPr>
      </w:pPr>
      <w:r>
        <w:rPr>
          <w:rFonts w:hint="default" w:ascii="ＭＳ 明朝" w:hAnsi="ＭＳ 明朝"/>
          <w:sz w:val="24"/>
        </w:rPr>
        <mc:AlternateContent>
          <mc:Choice Requires="wps">
            <w:drawing>
              <wp:inline>
                <wp:extent cx="6054090" cy="280035"/>
                <wp:effectExtent l="635" t="635" r="29845" b="10795"/>
                <wp:docPr id="1096" name="Rectangle 671"/>
                <a:graphic xmlns:a="http://schemas.openxmlformats.org/drawingml/2006/main">
                  <a:graphicData uri="http://schemas.microsoft.com/office/word/2010/wordprocessingShape">
                    <wps:wsp>
                      <wps:cNvPr id="1096" name="Rectangle 671"/>
                      <wps:cNvSpPr>
                        <a:spLocks noRot="1" noMove="1" noResize="1" noChangeArrowheads="1"/>
                      </wps:cNvSpPr>
                      <wps:spPr>
                        <a:xfrm>
                          <a:off x="0" y="0"/>
                          <a:ext cx="6054090" cy="280035"/>
                        </a:xfrm>
                        <a:prstGeom prst="rect">
                          <a:avLst/>
                        </a:prstGeom>
                        <a:solidFill>
                          <a:srgbClr val="FFFFFF"/>
                        </a:solidFill>
                        <a:ln w="9525">
                          <a:solidFill>
                            <a:sysClr val="windowText" lastClr="000000"/>
                          </a:solidFill>
                          <a:miter/>
                        </a:ln>
                      </wps:spPr>
                      <wps:txbx>
                        <w:txbxContent>
                          <w:p>
                            <w:pPr>
                              <w:pStyle w:val="0"/>
                              <w:spacing w:before="34" w:beforeLines="10" w:beforeAutospacing="0"/>
                              <w:rPr>
                                <w:rFonts w:hint="default"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22</w:t>
                            </w:r>
                            <w:r>
                              <w:rPr>
                                <w:rFonts w:hint="eastAsia" w:ascii="ＭＳ ゴシック" w:hAnsi="ＭＳ ゴシック" w:eastAsia="ＭＳ ゴシック"/>
                              </w:rPr>
                              <w:t>　</w:t>
                            </w:r>
                            <w:r>
                              <w:rPr>
                                <w:rFonts w:hint="eastAsia" w:ascii="ＭＳ ゴシック" w:hAnsi="ＭＳ ゴシック" w:eastAsia="ＭＳ ゴシック"/>
                                <w:w w:val="90"/>
                              </w:rPr>
                              <w:t>自分の住んでいる街が、障害のある人にとって安心して暮らせるところだと思いますか。</w:t>
                            </w:r>
                          </w:p>
                        </w:txbxContent>
                      </wps:txbx>
                      <wps:bodyPr vertOverflow="overflow" horzOverflow="overflow" lIns="74159" tIns="8999" rIns="74159" bIns="8999" anchor="ctr" upright="1"/>
                    </wps:wsp>
                  </a:graphicData>
                </a:graphic>
              </wp:inline>
            </w:drawing>
          </mc:Choice>
          <mc:Fallback>
            <w:pict>
              <v:rect id="Rectangle 671" style="v-text-anchor:middle;height:22.05pt;width:476.7pt;" o:spid="_x0000_s1096" filled="t" fillcolor="#ffffff" stroked="t" strokecolor="#000000" strokeweight="0.75pt" o:spt="1">
                <v:fill/>
                <v:stroke filltype="solid"/>
                <v:textbox style="layout-flow:horizontal;" inset="2.0599722222222216mm,0.24997222222222218mm,2.0599722222222216mm,0.24997222222222218mm">
                  <w:txbxContent>
                    <w:p>
                      <w:pPr>
                        <w:pStyle w:val="0"/>
                        <w:spacing w:before="34" w:beforeLines="10" w:beforeAutospacing="0"/>
                        <w:rPr>
                          <w:rFonts w:hint="default"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22</w:t>
                      </w:r>
                      <w:r>
                        <w:rPr>
                          <w:rFonts w:hint="eastAsia" w:ascii="ＭＳ ゴシック" w:hAnsi="ＭＳ ゴシック" w:eastAsia="ＭＳ ゴシック"/>
                        </w:rPr>
                        <w:t>　</w:t>
                      </w:r>
                      <w:r>
                        <w:rPr>
                          <w:rFonts w:hint="eastAsia" w:ascii="ＭＳ ゴシック" w:hAnsi="ＭＳ ゴシック" w:eastAsia="ＭＳ ゴシック"/>
                          <w:w w:val="90"/>
                        </w:rPr>
                        <w:t>自分の住んでいる街が、障害のある人にとって安心して暮らせるところだと思いますか。</w:t>
                      </w:r>
                    </w:p>
                  </w:txbxContent>
                </v:textbox>
                <v:imagedata o:title=""/>
                <o:lock v:ext="edit" position="t" rotation="t"/>
                <w10:anchorlock/>
              </v:rect>
            </w:pict>
          </mc:Fallback>
        </mc:AlternateContent>
      </w:r>
    </w:p>
    <w:p>
      <w:pPr>
        <w:pStyle w:val="0"/>
        <w:rPr>
          <w:rFonts w:hint="eastAsia" w:ascii="ＭＳ 明朝" w:hAnsi="ＭＳ 明朝"/>
          <w:sz w:val="24"/>
        </w:rPr>
      </w:pPr>
    </w:p>
    <w:p>
      <w:pPr>
        <w:pStyle w:val="0"/>
        <w:rPr>
          <w:rFonts w:hint="eastAsia" w:ascii="ＭＳ 明朝" w:hAnsi="ＭＳ 明朝"/>
          <w:sz w:val="24"/>
        </w:rPr>
      </w:pPr>
    </w:p>
    <w:p>
      <w:pPr>
        <w:pStyle w:val="0"/>
        <w:rPr>
          <w:rFonts w:hint="eastAsia" w:ascii="ＭＳ ゴシック" w:hAnsi="ＭＳ ゴシック" w:eastAsia="ＭＳ ゴシック"/>
          <w:sz w:val="24"/>
        </w:rPr>
      </w:pPr>
      <w:r>
        <w:rPr>
          <w:rFonts w:hint="default"/>
        </w:rPr>
        <w:drawing>
          <wp:anchor simplePos="0" relativeHeight="72" behindDoc="0" locked="0" layoutInCell="1" hidden="0" allowOverlap="1">
            <wp:simplePos x="0" y="0"/>
            <wp:positionH relativeFrom="column">
              <wp:posOffset>0</wp:posOffset>
            </wp:positionH>
            <wp:positionV relativeFrom="paragraph">
              <wp:posOffset>228600</wp:posOffset>
            </wp:positionV>
            <wp:extent cx="6334125" cy="2439035"/>
            <wp:effectExtent l="0" t="0" r="0" b="0"/>
            <wp:wrapNone/>
            <wp:docPr id="1097" name="オブジェクト 0"/>
            <a:graphic xmlns:a="http://schemas.openxmlformats.org/drawingml/2006/main">
              <a:graphicData uri="http://schemas.openxmlformats.org/drawingml/2006/picture">
                <pic:pic xmlns:pic="http://schemas.openxmlformats.org/drawingml/2006/picture">
                  <pic:nvPicPr>
                    <pic:cNvPr id="1097" name="オブジェクト 0"/>
                    <pic:cNvPicPr>
                      <a:picLocks noChangeAspect="1"/>
                    </pic:cNvPicPr>
                  </pic:nvPicPr>
                  <pic:blipFill>
                    <a:blip r:embed="rId47"/>
                    <a:stretch>
                      <a:fillRect/>
                    </a:stretch>
                  </pic:blipFill>
                  <pic:spPr>
                    <a:xfrm>
                      <a:off x="0" y="0"/>
                      <a:ext cx="6334125" cy="2439035"/>
                    </a:xfrm>
                    <a:prstGeom prst="rect">
                      <a:avLst/>
                    </a:prstGeom>
                    <a:noFill/>
                    <a:ln>
                      <a:miter/>
                    </a:ln>
                  </pic:spPr>
                </pic:pic>
              </a:graphicData>
            </a:graphic>
          </wp:anchor>
        </w:drawing>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【今回調査結果】　　　　　</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　　【過去の調査との比較】</w:t>
      </w:r>
    </w:p>
    <w:p>
      <w:pPr>
        <w:pStyle w:val="0"/>
        <w:rPr>
          <w:rFonts w:hint="eastAsia"/>
        </w:rPr>
      </w:pPr>
    </w:p>
    <w:p>
      <w:pPr>
        <w:pStyle w:val="0"/>
        <w:rPr>
          <w:rFonts w:hint="eastAsia"/>
        </w:rPr>
      </w:pPr>
      <w:r>
        <w:rPr>
          <w:rFonts w:hint="default"/>
        </w:rPr>
        <mc:AlternateContent>
          <mc:Choice Requires="wps">
            <w:drawing>
              <wp:anchor simplePos="0" relativeHeight="71" behindDoc="0" locked="1" layoutInCell="1" hidden="0" allowOverlap="1">
                <wp:simplePos x="0" y="0"/>
                <wp:positionH relativeFrom="column">
                  <wp:posOffset>2347595</wp:posOffset>
                </wp:positionH>
                <wp:positionV relativeFrom="page">
                  <wp:posOffset>7828915</wp:posOffset>
                </wp:positionV>
                <wp:extent cx="817880" cy="342265"/>
                <wp:effectExtent l="19685" t="19685" r="29845" b="20320"/>
                <wp:wrapNone/>
                <wp:docPr id="1098" name="楕円 61"/>
                <a:graphic xmlns:a="http://schemas.openxmlformats.org/drawingml/2006/main">
                  <a:graphicData uri="http://schemas.microsoft.com/office/word/2010/wordprocessingShape">
                    <wps:wsp>
                      <wps:cNvPr id="1098" name="楕円 61"/>
                      <wps:cNvSpPr>
                        <a:spLocks noChangeArrowheads="1"/>
                      </wps:cNvSpPr>
                      <wps:spPr>
                        <a:xfrm>
                          <a:off x="0" y="0"/>
                          <a:ext cx="817880" cy="342265"/>
                        </a:xfrm>
                        <a:prstGeom prst="ellipse">
                          <a:avLst/>
                        </a:prstGeom>
                        <a:noFill/>
                        <a:ln w="28575">
                          <a:solidFill>
                            <a:sysClr val="windowText" lastClr="000000"/>
                          </a:solidFill>
                        </a:ln>
                      </wps:spPr>
                      <wps:bodyPr/>
                    </wps:wsp>
                  </a:graphicData>
                </a:graphic>
              </wp:anchor>
            </w:drawing>
          </mc:Choice>
          <mc:Fallback>
            <w:pict>
              <v:oval id="楕円 61" style="margin-top:616.45000000000005pt;mso-position-vertical-relative:page;mso-position-horizontal-relative:text;position:absolute;height:26.95pt;width:64.400000000000006pt;margin-left:184.85pt;z-index:71;" o:spid="_x0000_s1098" o:allowincell="t" o:allowoverlap="t" filled="f" stroked="t" strokecolor="#000000" strokeweight="2.25pt" o:spt="3">
                <v:fill/>
                <v:stroke filltype="solid"/>
                <v:textbox style="layout-flow:horizontal;"/>
                <v:imagedata o:title=""/>
                <w10:wrap type="none" anchorx="text" anchory="page"/>
                <w10:anchorlock/>
              </v:oval>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tbl>
      <w:tblPr>
        <w:tblStyle w:val="11"/>
        <w:tblW w:w="0" w:type="auto"/>
        <w:tblInd w:w="2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0" w:lastRow="0" w:firstColumn="0" w:lastColumn="0" w:noHBand="1" w:noVBand="1" w:val="0600"/>
      </w:tblPr>
      <w:tblGrid>
        <w:gridCol w:w="1260"/>
        <w:gridCol w:w="1768"/>
        <w:gridCol w:w="1769"/>
        <w:gridCol w:w="1545"/>
        <w:gridCol w:w="1545"/>
        <w:gridCol w:w="1547"/>
      </w:tblGrid>
      <w:tr>
        <w:trPr/>
        <w:tc>
          <w:tcPr>
            <w:tcW w:w="126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napToGrid w:val="0"/>
              <w:rPr>
                <w:rFonts w:hint="eastAsia" w:ascii="ＭＳ 明朝" w:hAnsi="ＭＳ 明朝"/>
              </w:rPr>
            </w:pPr>
          </w:p>
        </w:tc>
        <w:tc>
          <w:tcPr>
            <w:tcW w:w="1768" w:type="dxa"/>
            <w:tcBorders>
              <w:top w:val="single" w:color="auto" w:sz="4" w:space="0"/>
              <w:left w:val="single" w:color="auto" w:sz="4" w:space="0"/>
              <w:bottom w:val="single" w:color="auto" w:sz="4" w:space="0"/>
              <w:right w:val="dashed" w:color="auto" w:sz="4" w:space="0"/>
              <w:tl2br w:val="nil"/>
              <w:tr2bl w:val="nil"/>
            </w:tcBorders>
            <w:shd w:val="clear" w:color="auto" w:fill="auto"/>
            <w:vAlign w:val="center"/>
          </w:tcPr>
          <w:p>
            <w:pPr>
              <w:pStyle w:val="0"/>
              <w:snapToGrid w:val="0"/>
              <w:jc w:val="center"/>
              <w:rPr>
                <w:rFonts w:hint="eastAsia" w:ascii="ＭＳ 明朝" w:hAnsi="ＭＳ 明朝"/>
                <w:w w:val="66"/>
              </w:rPr>
            </w:pPr>
            <w:r>
              <w:rPr>
                <w:rFonts w:hint="eastAsia" w:ascii="ＭＳ 明朝" w:hAnsi="ＭＳ 明朝"/>
                <w:w w:val="66"/>
              </w:rPr>
              <w:t>安心して暮らせる</w:t>
            </w:r>
          </w:p>
          <w:p>
            <w:pPr>
              <w:pStyle w:val="0"/>
              <w:snapToGrid w:val="0"/>
              <w:jc w:val="center"/>
              <w:rPr>
                <w:rFonts w:hint="eastAsia" w:ascii="ＭＳ 明朝" w:hAnsi="ＭＳ 明朝"/>
                <w:w w:val="66"/>
              </w:rPr>
            </w:pPr>
            <w:r>
              <w:rPr>
                <w:rFonts w:hint="eastAsia" w:ascii="ＭＳ 明朝" w:hAnsi="ＭＳ 明朝"/>
                <w:w w:val="66"/>
              </w:rPr>
              <w:t>ところだと思う</w:t>
            </w:r>
          </w:p>
        </w:tc>
        <w:tc>
          <w:tcPr>
            <w:tcW w:w="1769" w:type="dxa"/>
            <w:tcBorders>
              <w:top w:val="single" w:color="auto" w:sz="4" w:space="0"/>
              <w:left w:val="dashed" w:color="auto" w:sz="4" w:space="0"/>
              <w:bottom w:val="single" w:color="auto" w:sz="4" w:space="0"/>
              <w:right w:val="single" w:color="auto" w:sz="4" w:space="0"/>
              <w:tl2br w:val="nil"/>
              <w:tr2bl w:val="nil"/>
            </w:tcBorders>
            <w:shd w:val="clear" w:color="auto" w:fill="auto"/>
            <w:vAlign w:val="center"/>
          </w:tcPr>
          <w:p>
            <w:pPr>
              <w:pStyle w:val="0"/>
              <w:snapToGrid w:val="0"/>
              <w:jc w:val="center"/>
              <w:rPr>
                <w:rFonts w:hint="eastAsia" w:ascii="ＭＳ 明朝" w:hAnsi="ＭＳ 明朝"/>
                <w:w w:val="66"/>
              </w:rPr>
            </w:pPr>
            <w:r>
              <w:rPr>
                <w:rFonts w:hint="eastAsia" w:ascii="ＭＳ 明朝" w:hAnsi="ＭＳ 明朝"/>
                <w:w w:val="66"/>
              </w:rPr>
              <w:t>ある程度安心して</w:t>
            </w:r>
          </w:p>
          <w:p>
            <w:pPr>
              <w:pStyle w:val="0"/>
              <w:snapToGrid w:val="0"/>
              <w:jc w:val="center"/>
              <w:rPr>
                <w:rFonts w:hint="eastAsia" w:ascii="ＭＳ 明朝" w:hAnsi="ＭＳ 明朝"/>
                <w:w w:val="66"/>
              </w:rPr>
            </w:pPr>
            <w:r>
              <w:rPr>
                <w:rFonts w:hint="eastAsia" w:ascii="ＭＳ 明朝" w:hAnsi="ＭＳ 明朝"/>
                <w:w w:val="66"/>
              </w:rPr>
              <w:t>暮らせるところだと思う</w:t>
            </w:r>
          </w:p>
        </w:tc>
        <w:tc>
          <w:tcPr>
            <w:tcW w:w="154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napToGrid w:val="0"/>
              <w:jc w:val="center"/>
              <w:rPr>
                <w:rFonts w:hint="eastAsia" w:ascii="ＭＳ 明朝" w:hAnsi="ＭＳ 明朝"/>
                <w:w w:val="66"/>
              </w:rPr>
            </w:pPr>
            <w:r>
              <w:rPr>
                <w:rFonts w:hint="eastAsia" w:ascii="ＭＳ 明朝" w:hAnsi="ＭＳ 明朝"/>
                <w:w w:val="66"/>
              </w:rPr>
              <w:t>安心して暮らせる</w:t>
            </w:r>
          </w:p>
          <w:p>
            <w:pPr>
              <w:pStyle w:val="0"/>
              <w:snapToGrid w:val="0"/>
              <w:jc w:val="center"/>
              <w:rPr>
                <w:rFonts w:hint="eastAsia" w:ascii="ＭＳ 明朝" w:hAnsi="ＭＳ 明朝"/>
                <w:w w:val="66"/>
              </w:rPr>
            </w:pPr>
            <w:r>
              <w:rPr>
                <w:rFonts w:hint="eastAsia" w:ascii="ＭＳ 明朝" w:hAnsi="ＭＳ 明朝"/>
                <w:w w:val="66"/>
              </w:rPr>
              <w:t>ところだと思わない</w:t>
            </w:r>
          </w:p>
        </w:tc>
        <w:tc>
          <w:tcPr>
            <w:tcW w:w="1545" w:type="dxa"/>
            <w:tcBorders>
              <w:top w:val="single" w:color="auto" w:sz="4" w:space="0"/>
              <w:left w:val="single" w:color="auto" w:sz="4" w:space="0"/>
              <w:bottom w:val="single" w:color="auto" w:sz="4" w:space="0"/>
              <w:right w:val="dashed" w:color="auto" w:sz="4" w:space="0"/>
              <w:tl2br w:val="nil"/>
              <w:tr2bl w:val="nil"/>
            </w:tcBorders>
            <w:shd w:val="clear" w:color="auto" w:fill="auto"/>
            <w:vAlign w:val="center"/>
          </w:tcPr>
          <w:p>
            <w:pPr>
              <w:pStyle w:val="0"/>
              <w:snapToGrid w:val="0"/>
              <w:jc w:val="center"/>
              <w:rPr>
                <w:rFonts w:hint="eastAsia" w:ascii="ＭＳ 明朝" w:hAnsi="ＭＳ 明朝"/>
                <w:w w:val="66"/>
              </w:rPr>
            </w:pPr>
            <w:r>
              <w:rPr>
                <w:rFonts w:hint="eastAsia" w:ascii="ＭＳ 明朝" w:hAnsi="ＭＳ 明朝"/>
                <w:w w:val="66"/>
              </w:rPr>
              <w:t>わからない</w:t>
            </w:r>
          </w:p>
        </w:tc>
        <w:tc>
          <w:tcPr>
            <w:tcW w:w="1547" w:type="dxa"/>
            <w:tcBorders>
              <w:top w:val="single" w:color="auto" w:sz="4" w:space="0"/>
              <w:left w:val="dashed" w:color="auto" w:sz="4" w:space="0"/>
              <w:bottom w:val="single" w:color="auto" w:sz="4" w:space="0"/>
              <w:right w:val="single" w:color="auto" w:sz="4" w:space="0"/>
              <w:tl2br w:val="nil"/>
              <w:tr2bl w:val="nil"/>
            </w:tcBorders>
            <w:shd w:val="clear" w:color="auto" w:fill="auto"/>
            <w:vAlign w:val="center"/>
          </w:tcPr>
          <w:p>
            <w:pPr>
              <w:pStyle w:val="0"/>
              <w:snapToGrid w:val="0"/>
              <w:jc w:val="center"/>
              <w:rPr>
                <w:rFonts w:hint="eastAsia" w:ascii="ＭＳ 明朝" w:hAnsi="ＭＳ 明朝"/>
                <w:w w:val="66"/>
              </w:rPr>
            </w:pPr>
            <w:r>
              <w:rPr>
                <w:rFonts w:hint="eastAsia" w:ascii="ＭＳ 明朝" w:hAnsi="ＭＳ 明朝"/>
                <w:w w:val="66"/>
              </w:rPr>
              <w:t>無回答</w:t>
            </w:r>
          </w:p>
        </w:tc>
      </w:tr>
      <w:tr>
        <w:trPr>
          <w:trHeight w:val="454" w:hRule="atLeast"/>
        </w:trPr>
        <w:tc>
          <w:tcPr>
            <w:tcW w:w="126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eastAsia" w:ascii="ＭＳ 明朝" w:hAnsi="ＭＳ 明朝"/>
                <w:sz w:val="24"/>
              </w:rPr>
            </w:pPr>
            <w:r>
              <w:rPr>
                <w:rFonts w:hint="eastAsia" w:ascii="ＭＳ 明朝" w:hAnsi="ＭＳ 明朝"/>
                <w:sz w:val="24"/>
              </w:rPr>
              <w:t>H24</w:t>
            </w:r>
          </w:p>
          <w:p>
            <w:pPr>
              <w:pStyle w:val="0"/>
              <w:jc w:val="center"/>
              <w:rPr>
                <w:rFonts w:hint="eastAsia" w:ascii="ＭＳ 明朝" w:hAnsi="ＭＳ 明朝"/>
                <w:w w:val="80"/>
                <w:sz w:val="24"/>
              </w:rPr>
            </w:pPr>
            <w:r>
              <w:rPr>
                <w:rFonts w:hint="eastAsia" w:ascii="ＭＳ 明朝" w:hAnsi="ＭＳ 明朝"/>
                <w:w w:val="80"/>
                <w:sz w:val="24"/>
              </w:rPr>
              <w:t>前々回調査</w:t>
            </w:r>
          </w:p>
        </w:tc>
        <w:tc>
          <w:tcPr>
            <w:tcW w:w="1768" w:type="dxa"/>
            <w:tcBorders>
              <w:top w:val="single" w:color="auto" w:sz="4" w:space="0"/>
              <w:left w:val="single" w:color="auto" w:sz="4" w:space="0"/>
              <w:bottom w:val="single" w:color="auto" w:sz="4" w:space="0"/>
              <w:right w:val="dashed"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19.6%</w:t>
            </w:r>
          </w:p>
        </w:tc>
        <w:tc>
          <w:tcPr>
            <w:tcW w:w="1769" w:type="dxa"/>
            <w:tcBorders>
              <w:top w:val="single" w:color="auto" w:sz="4" w:space="0"/>
              <w:left w:val="dashed"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42.4%</w:t>
            </w:r>
          </w:p>
        </w:tc>
        <w:tc>
          <w:tcPr>
            <w:tcW w:w="154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13.7%</w:t>
            </w:r>
          </w:p>
        </w:tc>
        <w:tc>
          <w:tcPr>
            <w:tcW w:w="1545" w:type="dxa"/>
            <w:tcBorders>
              <w:top w:val="single" w:color="auto" w:sz="4" w:space="0"/>
              <w:left w:val="single" w:color="auto" w:sz="4" w:space="0"/>
              <w:bottom w:val="single" w:color="auto" w:sz="4" w:space="0"/>
              <w:right w:val="dashed"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16.5%</w:t>
            </w:r>
          </w:p>
        </w:tc>
        <w:tc>
          <w:tcPr>
            <w:tcW w:w="1547" w:type="dxa"/>
            <w:tcBorders>
              <w:top w:val="single" w:color="auto" w:sz="4" w:space="0"/>
              <w:left w:val="dashed"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7.7%</w:t>
            </w:r>
          </w:p>
        </w:tc>
      </w:tr>
      <w:tr>
        <w:trPr>
          <w:trHeight w:val="510" w:hRule="atLeast"/>
        </w:trPr>
        <w:tc>
          <w:tcPr>
            <w:tcW w:w="1260"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rPr>
            </w:pPr>
          </w:p>
        </w:tc>
        <w:tc>
          <w:tcPr>
            <w:tcW w:w="1768" w:type="dxa"/>
            <w:tcBorders>
              <w:top w:val="single" w:color="auto" w:sz="4" w:space="0"/>
              <w:left w:val="single" w:color="auto" w:sz="4" w:space="0"/>
              <w:bottom w:val="single" w:color="auto" w:sz="4" w:space="0"/>
              <w:right w:val="nil"/>
              <w:tl2br w:val="nil"/>
              <w:tr2bl w:val="nil"/>
            </w:tcBorders>
            <w:shd w:val="clear" w:color="auto" w:fill="auto"/>
            <w:vAlign w:val="center"/>
          </w:tcPr>
          <w:p>
            <w:pPr>
              <w:pStyle w:val="0"/>
              <w:rPr>
                <w:rFonts w:hint="eastAsia" w:ascii="ＭＳ 明朝" w:hAnsi="ＭＳ 明朝"/>
              </w:rPr>
            </w:pPr>
          </w:p>
        </w:tc>
        <w:tc>
          <w:tcPr>
            <w:tcW w:w="1769"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62.0%</w:t>
            </w:r>
          </w:p>
        </w:tc>
        <w:tc>
          <w:tcPr>
            <w:tcW w:w="154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13.7%</w:t>
            </w:r>
          </w:p>
        </w:tc>
        <w:tc>
          <w:tcPr>
            <w:tcW w:w="1545" w:type="dxa"/>
            <w:tcBorders>
              <w:top w:val="single" w:color="auto" w:sz="4" w:space="0"/>
              <w:left w:val="single" w:color="auto" w:sz="4" w:space="0"/>
              <w:bottom w:val="single" w:color="auto" w:sz="4" w:space="0"/>
              <w:right w:val="nil"/>
              <w:tl2br w:val="nil"/>
              <w:tr2bl w:val="nil"/>
            </w:tcBorders>
            <w:shd w:val="clear" w:color="auto" w:fill="auto"/>
            <w:vAlign w:val="center"/>
          </w:tcPr>
          <w:p>
            <w:pPr>
              <w:pStyle w:val="0"/>
              <w:jc w:val="right"/>
              <w:rPr>
                <w:rFonts w:hint="eastAsia" w:ascii="ＭＳ 明朝" w:hAnsi="ＭＳ 明朝"/>
                <w:sz w:val="24"/>
              </w:rPr>
            </w:pPr>
          </w:p>
        </w:tc>
        <w:tc>
          <w:tcPr>
            <w:tcW w:w="1547"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0"/>
              <w:jc w:val="right"/>
              <w:rPr>
                <w:rFonts w:hint="eastAsia"/>
              </w:rPr>
            </w:pPr>
            <w:r>
              <w:rPr>
                <w:rFonts w:hint="eastAsia" w:ascii="ＭＳ 明朝" w:hAnsi="ＭＳ 明朝"/>
                <w:sz w:val="24"/>
              </w:rPr>
              <w:t>24.2%</w:t>
            </w:r>
          </w:p>
        </w:tc>
      </w:tr>
      <w:tr>
        <w:trPr>
          <w:trHeight w:val="550" w:hRule="atLeast"/>
        </w:trPr>
        <w:tc>
          <w:tcPr>
            <w:tcW w:w="126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eastAsia" w:ascii="ＭＳ 明朝" w:hAnsi="ＭＳ 明朝"/>
                <w:sz w:val="24"/>
              </w:rPr>
            </w:pPr>
            <w:r>
              <w:rPr>
                <w:rFonts w:hint="eastAsia" w:ascii="ＭＳ 明朝" w:hAnsi="ＭＳ 明朝"/>
                <w:sz w:val="24"/>
              </w:rPr>
              <w:t>H28</w:t>
            </w:r>
          </w:p>
          <w:p>
            <w:pPr>
              <w:pStyle w:val="0"/>
              <w:jc w:val="center"/>
              <w:rPr>
                <w:rFonts w:hint="eastAsia" w:ascii="ＭＳ 明朝" w:hAnsi="ＭＳ 明朝"/>
                <w:sz w:val="24"/>
              </w:rPr>
            </w:pPr>
            <w:r>
              <w:rPr>
                <w:rFonts w:hint="eastAsia" w:ascii="ＭＳ 明朝" w:hAnsi="ＭＳ 明朝"/>
                <w:sz w:val="24"/>
              </w:rPr>
              <w:t>前回調査</w:t>
            </w:r>
          </w:p>
        </w:tc>
        <w:tc>
          <w:tcPr>
            <w:tcW w:w="1768" w:type="dxa"/>
            <w:tcBorders>
              <w:top w:val="single" w:color="auto" w:sz="4" w:space="0"/>
              <w:left w:val="single" w:color="auto" w:sz="4" w:space="0"/>
              <w:bottom w:val="single" w:color="auto" w:sz="4" w:space="0"/>
              <w:right w:val="dashed"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19.5%</w:t>
            </w:r>
          </w:p>
        </w:tc>
        <w:tc>
          <w:tcPr>
            <w:tcW w:w="1769" w:type="dxa"/>
            <w:tcBorders>
              <w:top w:val="single" w:color="auto" w:sz="4" w:space="0"/>
              <w:left w:val="dashed"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45.2%</w:t>
            </w:r>
          </w:p>
        </w:tc>
        <w:tc>
          <w:tcPr>
            <w:tcW w:w="154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12.2%</w:t>
            </w:r>
          </w:p>
        </w:tc>
        <w:tc>
          <w:tcPr>
            <w:tcW w:w="1545" w:type="dxa"/>
            <w:tcBorders>
              <w:top w:val="single" w:color="auto" w:sz="4" w:space="0"/>
              <w:left w:val="single" w:color="auto" w:sz="4" w:space="0"/>
              <w:bottom w:val="single" w:color="auto" w:sz="4" w:space="0"/>
              <w:right w:val="dashed"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17.5%</w:t>
            </w:r>
          </w:p>
        </w:tc>
        <w:tc>
          <w:tcPr>
            <w:tcW w:w="1547" w:type="dxa"/>
            <w:tcBorders>
              <w:top w:val="single" w:color="auto" w:sz="4" w:space="0"/>
              <w:left w:val="dashed"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5.6%</w:t>
            </w:r>
          </w:p>
        </w:tc>
      </w:tr>
      <w:tr>
        <w:trPr>
          <w:trHeight w:val="510" w:hRule="atLeast"/>
        </w:trPr>
        <w:tc>
          <w:tcPr>
            <w:tcW w:w="1260"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rPr>
            </w:pPr>
          </w:p>
        </w:tc>
        <w:tc>
          <w:tcPr>
            <w:tcW w:w="1768" w:type="dxa"/>
            <w:tcBorders>
              <w:top w:val="single" w:color="auto" w:sz="4" w:space="0"/>
              <w:left w:val="single" w:color="auto" w:sz="4" w:space="0"/>
              <w:bottom w:val="single" w:color="auto" w:sz="4" w:space="0"/>
              <w:right w:val="nil"/>
              <w:tl2br w:val="nil"/>
              <w:tr2bl w:val="nil"/>
            </w:tcBorders>
            <w:shd w:val="clear" w:color="auto" w:fill="auto"/>
            <w:vAlign w:val="center"/>
          </w:tcPr>
          <w:p>
            <w:pPr>
              <w:pStyle w:val="0"/>
              <w:jc w:val="center"/>
              <w:rPr>
                <w:rFonts w:hint="eastAsia" w:ascii="ＭＳ 明朝" w:hAnsi="ＭＳ 明朝"/>
                <w:sz w:val="24"/>
              </w:rPr>
            </w:pPr>
          </w:p>
        </w:tc>
        <w:tc>
          <w:tcPr>
            <w:tcW w:w="1769"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64.7%</w:t>
            </w:r>
          </w:p>
        </w:tc>
        <w:tc>
          <w:tcPr>
            <w:tcW w:w="154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12.2%</w:t>
            </w:r>
          </w:p>
        </w:tc>
        <w:tc>
          <w:tcPr>
            <w:tcW w:w="1545" w:type="dxa"/>
            <w:tcBorders>
              <w:top w:val="single" w:color="auto" w:sz="4" w:space="0"/>
              <w:left w:val="single" w:color="auto" w:sz="4" w:space="0"/>
              <w:bottom w:val="single" w:color="auto" w:sz="4" w:space="0"/>
              <w:right w:val="nil"/>
              <w:tl2br w:val="nil"/>
              <w:tr2bl w:val="nil"/>
            </w:tcBorders>
            <w:shd w:val="clear" w:color="auto" w:fill="auto"/>
            <w:vAlign w:val="center"/>
          </w:tcPr>
          <w:p>
            <w:pPr>
              <w:pStyle w:val="0"/>
              <w:jc w:val="right"/>
              <w:rPr>
                <w:rFonts w:hint="eastAsia" w:ascii="ＭＳ 明朝" w:hAnsi="ＭＳ 明朝"/>
                <w:sz w:val="24"/>
              </w:rPr>
            </w:pPr>
          </w:p>
        </w:tc>
        <w:tc>
          <w:tcPr>
            <w:tcW w:w="1547"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0"/>
              <w:jc w:val="right"/>
              <w:rPr>
                <w:rFonts w:hint="eastAsia"/>
              </w:rPr>
            </w:pPr>
            <w:r>
              <w:rPr>
                <w:rFonts w:hint="eastAsia" w:ascii="ＭＳ 明朝" w:hAnsi="ＭＳ 明朝"/>
                <w:sz w:val="24"/>
              </w:rPr>
              <w:t>23.1%</w:t>
            </w:r>
          </w:p>
        </w:tc>
      </w:tr>
      <w:tr>
        <w:trPr>
          <w:trHeight w:val="510" w:hRule="atLeast"/>
        </w:trPr>
        <w:tc>
          <w:tcPr>
            <w:tcW w:w="126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eastAsia" w:ascii="ＭＳ 明朝" w:hAnsi="ＭＳ 明朝"/>
                <w:sz w:val="24"/>
              </w:rPr>
            </w:pPr>
            <w:r>
              <w:rPr>
                <w:rFonts w:hint="eastAsia" w:ascii="ＭＳ 明朝" w:hAnsi="ＭＳ 明朝"/>
                <w:sz w:val="24"/>
              </w:rPr>
              <w:t>R2</w:t>
            </w:r>
          </w:p>
          <w:p>
            <w:pPr>
              <w:pStyle w:val="0"/>
              <w:jc w:val="center"/>
              <w:rPr>
                <w:rFonts w:hint="eastAsia" w:ascii="ＭＳ 明朝" w:hAnsi="ＭＳ 明朝"/>
                <w:sz w:val="24"/>
              </w:rPr>
            </w:pPr>
            <w:r>
              <w:rPr>
                <w:rFonts w:hint="eastAsia" w:ascii="ＭＳ 明朝" w:hAnsi="ＭＳ 明朝"/>
                <w:sz w:val="24"/>
              </w:rPr>
              <w:t>今回調査</w:t>
            </w:r>
          </w:p>
        </w:tc>
        <w:tc>
          <w:tcPr>
            <w:tcW w:w="1768" w:type="dxa"/>
            <w:tcBorders>
              <w:top w:val="single" w:color="auto" w:sz="4" w:space="0"/>
              <w:left w:val="single" w:color="auto" w:sz="4" w:space="0"/>
              <w:bottom w:val="single" w:color="auto" w:sz="4" w:space="0"/>
              <w:right w:val="dashed"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21.4%</w:t>
            </w:r>
          </w:p>
        </w:tc>
        <w:tc>
          <w:tcPr>
            <w:tcW w:w="1769" w:type="dxa"/>
            <w:tcBorders>
              <w:top w:val="single" w:color="auto" w:sz="4" w:space="0"/>
              <w:left w:val="dashed"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47.0%</w:t>
            </w:r>
          </w:p>
        </w:tc>
        <w:tc>
          <w:tcPr>
            <w:tcW w:w="154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10.4%</w:t>
            </w:r>
          </w:p>
        </w:tc>
        <w:tc>
          <w:tcPr>
            <w:tcW w:w="1545" w:type="dxa"/>
            <w:tcBorders>
              <w:top w:val="single" w:color="auto" w:sz="4" w:space="0"/>
              <w:left w:val="single" w:color="auto" w:sz="4" w:space="0"/>
              <w:bottom w:val="single" w:color="auto" w:sz="4" w:space="0"/>
              <w:right w:val="dashed"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17.1%</w:t>
            </w:r>
          </w:p>
        </w:tc>
        <w:tc>
          <w:tcPr>
            <w:tcW w:w="1547" w:type="dxa"/>
            <w:tcBorders>
              <w:top w:val="single" w:color="auto" w:sz="4" w:space="0"/>
              <w:left w:val="dashed"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4.2%</w:t>
            </w:r>
          </w:p>
        </w:tc>
      </w:tr>
      <w:tr>
        <w:trPr>
          <w:trHeight w:val="510" w:hRule="atLeast"/>
        </w:trPr>
        <w:tc>
          <w:tcPr>
            <w:tcW w:w="1260"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eastAsia" w:ascii="ＭＳ 明朝" w:hAnsi="ＭＳ 明朝"/>
                <w:sz w:val="24"/>
              </w:rPr>
            </w:pPr>
          </w:p>
        </w:tc>
        <w:tc>
          <w:tcPr>
            <w:tcW w:w="3537"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68.4%</w:t>
            </w:r>
          </w:p>
        </w:tc>
        <w:tc>
          <w:tcPr>
            <w:tcW w:w="154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10.4%</w:t>
            </w:r>
          </w:p>
        </w:tc>
        <w:tc>
          <w:tcPr>
            <w:tcW w:w="3092"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21.3%</w:t>
            </w:r>
          </w:p>
        </w:tc>
      </w:tr>
    </w:tbl>
    <w:p>
      <w:pPr>
        <w:pStyle w:val="0"/>
        <w:rPr>
          <w:rFonts w:hint="eastAsia" w:ascii="ＭＳ ゴシック" w:hAnsi="ＭＳ ゴシック" w:eastAsia="ＭＳ ゴシック"/>
          <w:sz w:val="24"/>
        </w:rPr>
      </w:pPr>
    </w:p>
    <w:p>
      <w:pPr>
        <w:pStyle w:val="0"/>
        <w:ind w:firstLine="240" w:firstLineChars="100"/>
        <w:rPr>
          <w:rFonts w:hint="eastAsia" w:ascii="ＭＳ ゴシック" w:hAnsi="ＭＳ ゴシック" w:eastAsia="ＭＳ ゴシック"/>
          <w:sz w:val="24"/>
        </w:rPr>
      </w:pPr>
      <w:r>
        <w:rPr>
          <w:rFonts w:hint="eastAsia" w:ascii="ＭＳ ゴシック" w:hAnsi="ＭＳ ゴシック" w:eastAsia="ＭＳ ゴシック"/>
          <w:sz w:val="24"/>
        </w:rPr>
        <w:t>「安心して暮らせるところだと思う」及び「ある程度安心して暮らせるところだと思う」を合わせた割合は</w:t>
      </w:r>
      <w:r>
        <w:rPr>
          <w:rFonts w:hint="eastAsia" w:ascii="ＭＳ ゴシック" w:hAnsi="ＭＳ ゴシック" w:eastAsia="ＭＳ ゴシック"/>
          <w:sz w:val="24"/>
        </w:rPr>
        <w:t>68.4</w:t>
      </w:r>
      <w:r>
        <w:rPr>
          <w:rFonts w:hint="eastAsia" w:ascii="ＭＳ ゴシック" w:hAnsi="ＭＳ ゴシック" w:eastAsia="ＭＳ ゴシック"/>
          <w:sz w:val="24"/>
        </w:rPr>
        <w:t>％と、前回調査結果から</w:t>
      </w:r>
      <w:r>
        <w:rPr>
          <w:rFonts w:hint="eastAsia" w:ascii="ＭＳ ゴシック" w:hAnsi="ＭＳ ゴシック" w:eastAsia="ＭＳ ゴシック"/>
          <w:sz w:val="24"/>
        </w:rPr>
        <w:t>3.7</w:t>
      </w:r>
      <w:r>
        <w:rPr>
          <w:rFonts w:hint="eastAsia" w:ascii="ＭＳ ゴシック" w:hAnsi="ＭＳ ゴシック" w:eastAsia="ＭＳ ゴシック"/>
          <w:sz w:val="24"/>
        </w:rPr>
        <w:t>ポイント増加しています。</w:t>
      </w: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　今後も、福祉サービスの充実はもとより、障害に対する県民の理解を深める「心のバリアフリー化」や、交通機関や施設などの「街のバリアフリー化」を進めていく必要があります。</w:t>
      </w:r>
    </w:p>
    <w:p>
      <w:pPr>
        <w:pStyle w:val="0"/>
        <w:rPr>
          <w:rFonts w:hint="eastAsia" w:ascii="ＭＳ ゴシック" w:hAnsi="ＭＳ ゴシック" w:eastAsia="ＭＳ ゴシック"/>
          <w:sz w:val="24"/>
        </w:rPr>
      </w:pPr>
    </w:p>
    <w:p>
      <w:pPr>
        <w:pStyle w:val="0"/>
        <w:ind w:firstLine="240" w:firstLineChars="100"/>
        <w:rPr>
          <w:rFonts w:hint="eastAsia"/>
          <w:sz w:val="22"/>
        </w:rPr>
      </w:pPr>
    </w:p>
    <w:tbl>
      <w:tblPr>
        <w:tblStyle w:val="11"/>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0" w:lastRow="0" w:firstColumn="0" w:lastColumn="0" w:noHBand="1" w:noVBand="1" w:val="0600"/>
      </w:tblPr>
      <w:tblGrid>
        <w:gridCol w:w="6825"/>
        <w:gridCol w:w="1224"/>
        <w:gridCol w:w="559"/>
        <w:gridCol w:w="1263"/>
      </w:tblGrid>
      <w:tr>
        <w:trPr>
          <w:trHeight w:val="731" w:hRule="atLeast"/>
        </w:trPr>
        <w:tc>
          <w:tcPr>
            <w:tcW w:w="6825" w:type="dxa"/>
            <w:tcBorders>
              <w:top w:val="double" w:color="auto" w:sz="4" w:space="0"/>
              <w:left w:val="double" w:color="auto" w:sz="4" w:space="0"/>
              <w:bottom w:val="double" w:color="auto" w:sz="4" w:space="0"/>
              <w:right w:val="double" w:color="auto" w:sz="4" w:space="0"/>
              <w:tl2br w:val="nil"/>
              <w:tr2bl w:val="nil"/>
            </w:tcBorders>
            <w:shd w:val="clear" w:color="auto" w:fill="auto"/>
            <w:vAlign w:val="center"/>
          </w:tcPr>
          <w:p>
            <w:pPr>
              <w:pStyle w:val="0"/>
              <w:snapToGrid w:val="0"/>
              <w:rPr>
                <w:rFonts w:hint="eastAsia"/>
              </w:rPr>
            </w:pPr>
            <w:r>
              <w:rPr>
                <w:rFonts w:hint="eastAsia" w:ascii="ＭＳ ゴシック" w:hAnsi="ＭＳ ゴシック" w:eastAsia="ＭＳ ゴシック"/>
                <w:sz w:val="24"/>
              </w:rPr>
              <w:t>差別や虐待を受けたことのある障害のある方の割合</w:t>
            </w:r>
          </w:p>
        </w:tc>
        <w:tc>
          <w:tcPr>
            <w:tcW w:w="1224" w:type="dxa"/>
            <w:tcBorders>
              <w:top w:val="nil"/>
              <w:left w:val="double" w:color="auto" w:sz="4" w:space="0"/>
              <w:bottom w:val="nil"/>
              <w:right w:val="nil"/>
              <w:tl2br w:val="nil"/>
              <w:tr2bl w:val="nil"/>
            </w:tcBorders>
            <w:shd w:val="clear" w:color="auto" w:fill="auto"/>
            <w:vAlign w:val="center"/>
          </w:tcPr>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H28</w:t>
            </w:r>
            <w:r>
              <w:rPr>
                <w:rFonts w:hint="eastAsia" w:ascii="ＭＳ ゴシック" w:hAnsi="ＭＳ ゴシック" w:eastAsia="ＭＳ ゴシック"/>
                <w:sz w:val="24"/>
              </w:rPr>
              <w:t>調査</w:t>
            </w:r>
          </w:p>
          <w:p>
            <w:pPr>
              <w:pStyle w:val="0"/>
              <w:snapToGrid w:val="0"/>
              <w:jc w:val="center"/>
              <w:rPr>
                <w:rFonts w:hint="eastAsia"/>
              </w:rPr>
            </w:pPr>
            <w:r>
              <w:rPr>
                <w:rFonts w:hint="eastAsia" w:ascii="ＭＳ ゴシック" w:hAnsi="ＭＳ ゴシック" w:eastAsia="ＭＳ ゴシック"/>
                <w:sz w:val="24"/>
              </w:rPr>
              <w:t>17.4%</w:t>
            </w:r>
          </w:p>
        </w:tc>
        <w:tc>
          <w:tcPr>
            <w:tcW w:w="559" w:type="dxa"/>
            <w:tcBorders>
              <w:top w:val="nil"/>
              <w:left w:val="nil"/>
              <w:bottom w:val="nil"/>
              <w:right w:val="nil"/>
              <w:tl2br w:val="nil"/>
              <w:tr2bl w:val="nil"/>
            </w:tcBorders>
            <w:shd w:val="clear" w:color="auto" w:fill="auto"/>
            <w:vAlign w:val="top"/>
          </w:tcPr>
          <w:p>
            <w:pPr>
              <w:pStyle w:val="0"/>
              <w:snapToGrid w:val="0"/>
              <w:jc w:val="center"/>
              <w:rPr>
                <w:rFonts w:hint="eastAsia" w:ascii="ＭＳ ゴシック" w:hAnsi="ＭＳ ゴシック" w:eastAsia="ＭＳ ゴシック"/>
                <w:sz w:val="24"/>
              </w:rPr>
            </w:pPr>
          </w:p>
          <w:p>
            <w:pPr>
              <w:pStyle w:val="0"/>
              <w:snapToGrid w:val="0"/>
              <w:rPr>
                <w:rFonts w:hint="eastAsia"/>
              </w:rPr>
            </w:pPr>
            <w:r>
              <w:rPr>
                <w:rFonts w:hint="default" w:ascii="ＭＳ ゴシック" w:hAnsi="ＭＳ ゴシック" w:eastAsia="ＭＳ ゴシック"/>
                <w:sz w:val="24"/>
              </w:rPr>
              <mc:AlternateContent>
                <mc:Choice Requires="wps">
                  <w:drawing>
                    <wp:inline>
                      <wp:extent cx="200025" cy="228600"/>
                      <wp:effectExtent l="635" t="1270" r="29845" b="11430"/>
                      <wp:docPr id="1099" name="AutoShape 678"/>
                      <a:graphic xmlns:a="http://schemas.openxmlformats.org/drawingml/2006/main">
                        <a:graphicData uri="http://schemas.microsoft.com/office/word/2010/wordprocessingShape">
                          <wps:wsp>
                            <wps:cNvPr id="1099" name="AutoShape 678"/>
                            <wps:cNvSpPr>
                              <a:spLocks noRot="1" noMove="1" noResize="1" noChangeArrowheads="1"/>
                            </wps:cNvSpPr>
                            <wps:spPr>
                              <a:xfrm>
                                <a:off x="0" y="0"/>
                                <a:ext cx="200025" cy="228600"/>
                              </a:xfrm>
                              <a:prstGeom prst="rightArrow">
                                <a:avLst>
                                  <a:gd name="adj1" fmla="val 50000"/>
                                  <a:gd name="adj2" fmla="val 48889"/>
                                </a:avLst>
                              </a:prstGeom>
                              <a:solidFill>
                                <a:srgbClr val="C0C0C0"/>
                              </a:solidFill>
                              <a:ln w="9525">
                                <a:solidFill>
                                  <a:sysClr val="windowText" lastClr="000000"/>
                                </a:solidFill>
                                <a:miter/>
                              </a:ln>
                            </wps:spPr>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78" style="height:18pt;width:15.75pt;" o:spid="_x0000_s1099" filled="t" fillcolor="#c0c0c0" stroked="t" strokecolor="#000000" strokeweight="0.75pt" o:spt="13" type="#_x0000_t13" adj="11040,5400">
                      <v:fill/>
                      <v:stroke filltype="solid"/>
                      <v:textbox style="layout-flow:horizontal;"/>
                      <v:imagedata o:title=""/>
                      <o:lock v:ext="edit" position="t" rotation="t"/>
                      <w10:anchorlock/>
                    </v:shape>
                  </w:pict>
                </mc:Fallback>
              </mc:AlternateContent>
            </w:r>
          </w:p>
        </w:tc>
        <w:tc>
          <w:tcPr>
            <w:tcW w:w="1263" w:type="dxa"/>
            <w:tcBorders>
              <w:top w:val="nil"/>
              <w:left w:val="nil"/>
              <w:bottom w:val="nil"/>
              <w:right w:val="nil"/>
              <w:tl2br w:val="nil"/>
              <w:tr2bl w:val="nil"/>
            </w:tcBorders>
            <w:shd w:val="clear" w:color="auto" w:fill="auto"/>
            <w:vAlign w:val="center"/>
          </w:tcPr>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R2</w:t>
            </w:r>
            <w:r>
              <w:rPr>
                <w:rFonts w:hint="eastAsia" w:ascii="ＭＳ ゴシック" w:hAnsi="ＭＳ ゴシック" w:eastAsia="ＭＳ ゴシック"/>
                <w:sz w:val="24"/>
              </w:rPr>
              <w:t>調査</w:t>
            </w:r>
          </w:p>
          <w:p>
            <w:pPr>
              <w:pStyle w:val="0"/>
              <w:snapToGrid w:val="0"/>
              <w:jc w:val="center"/>
              <w:rPr>
                <w:rFonts w:hint="eastAsia"/>
              </w:rPr>
            </w:pPr>
            <w:r>
              <w:rPr>
                <w:rFonts w:hint="eastAsia" w:ascii="ＭＳ ゴシック" w:hAnsi="ＭＳ ゴシック" w:eastAsia="ＭＳ ゴシック"/>
                <w:sz w:val="24"/>
              </w:rPr>
              <w:t>17.3%</w:t>
            </w:r>
          </w:p>
        </w:tc>
      </w:tr>
    </w:tbl>
    <w:p>
      <w:pPr>
        <w:pStyle w:val="0"/>
        <w:spacing w:line="100" w:lineRule="exact"/>
        <w:rPr>
          <w:rFonts w:hint="eastAsia" w:ascii="ＭＳ 明朝" w:hAnsi="ＭＳ 明朝"/>
          <w:sz w:val="24"/>
        </w:rPr>
      </w:pPr>
    </w:p>
    <w:p>
      <w:pPr>
        <w:pStyle w:val="0"/>
        <w:rPr>
          <w:rFonts w:hint="eastAsia" w:ascii="ＭＳ 明朝" w:hAnsi="ＭＳ 明朝"/>
          <w:sz w:val="24"/>
        </w:rPr>
      </w:pPr>
      <w:r>
        <w:rPr>
          <w:rFonts w:hint="default" w:ascii="ＭＳ 明朝" w:hAnsi="ＭＳ 明朝"/>
          <w:sz w:val="24"/>
        </w:rPr>
        <mc:AlternateContent>
          <mc:Choice Requires="wps">
            <w:drawing>
              <wp:inline>
                <wp:extent cx="6054090" cy="522605"/>
                <wp:effectExtent l="635" t="635" r="29845" b="10795"/>
                <wp:docPr id="1100" name="Rectangle 675"/>
                <a:graphic xmlns:a="http://schemas.openxmlformats.org/drawingml/2006/main">
                  <a:graphicData uri="http://schemas.microsoft.com/office/word/2010/wordprocessingShape">
                    <wps:wsp>
                      <wps:cNvPr id="1100" name="Rectangle 675"/>
                      <wps:cNvSpPr>
                        <a:spLocks noRot="1" noMove="1" noResize="1" noChangeArrowheads="1"/>
                      </wps:cNvSpPr>
                      <wps:spPr>
                        <a:xfrm>
                          <a:off x="0" y="0"/>
                          <a:ext cx="6054090" cy="522605"/>
                        </a:xfrm>
                        <a:prstGeom prst="rect">
                          <a:avLst/>
                        </a:prstGeom>
                        <a:solidFill>
                          <a:srgbClr val="FFFFFF"/>
                        </a:solidFill>
                        <a:ln w="9525">
                          <a:solidFill>
                            <a:sysClr val="windowText" lastClr="000000"/>
                          </a:solidFill>
                          <a:miter/>
                        </a:ln>
                      </wps:spPr>
                      <wps:txbx>
                        <w:txbxContent>
                          <w:p>
                            <w:pPr>
                              <w:pStyle w:val="0"/>
                              <w:spacing w:before="34" w:beforeLines="10" w:beforeAutospacing="0"/>
                              <w:rPr>
                                <w:rFonts w:hint="eastAsia"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23</w:t>
                            </w:r>
                            <w:r>
                              <w:rPr>
                                <w:rFonts w:hint="eastAsia" w:ascii="ＭＳ ゴシック" w:hAnsi="ＭＳ ゴシック" w:eastAsia="ＭＳ ゴシック"/>
                              </w:rPr>
                              <w:t>　生活をしている中で、差別や虐待を受けたことはありますか。</w:t>
                            </w:r>
                          </w:p>
                          <w:p>
                            <w:pPr>
                              <w:pStyle w:val="0"/>
                              <w:snapToGrid w:val="0"/>
                              <w:spacing w:before="34" w:beforeLines="10" w:beforeAutospacing="0"/>
                              <w:rPr>
                                <w:rFonts w:hint="eastAsia" w:ascii="ＭＳ ゴシック" w:hAnsi="ＭＳ ゴシック" w:eastAsia="ＭＳ ゴシック"/>
                              </w:rPr>
                            </w:pPr>
                            <w:r>
                              <w:rPr>
                                <w:rFonts w:hint="eastAsia" w:ascii="ＭＳ ゴシック" w:hAnsi="ＭＳ ゴシック" w:eastAsia="ＭＳ ゴシック"/>
                                <w:w w:val="90"/>
                              </w:rPr>
                              <w:t>※「虐待」とは身体的な虐待だけでなく、金銭的な虐待、心理的な虐待、性的な虐待を含みます。</w:t>
                            </w:r>
                          </w:p>
                        </w:txbxContent>
                      </wps:txbx>
                      <wps:bodyPr vertOverflow="overflow" horzOverflow="overflow" lIns="74159" tIns="8999" rIns="74159" bIns="8999" anchor="ctr" upright="1"/>
                    </wps:wsp>
                  </a:graphicData>
                </a:graphic>
              </wp:inline>
            </w:drawing>
          </mc:Choice>
          <mc:Fallback>
            <w:pict>
              <v:rect id="Rectangle 675" style="v-text-anchor:middle;height:41.15pt;width:476.7pt;" o:spid="_x0000_s1100" filled="t" fillcolor="#ffffff" stroked="t" strokecolor="#000000" strokeweight="0.75pt" o:spt="1">
                <v:fill/>
                <v:stroke filltype="solid"/>
                <v:textbox style="layout-flow:horizontal;" inset="2.0599722222222216mm,0.24997222222222218mm,2.0599722222222216mm,0.24997222222222218mm">
                  <w:txbxContent>
                    <w:p>
                      <w:pPr>
                        <w:pStyle w:val="0"/>
                        <w:spacing w:before="34" w:beforeLines="10" w:beforeAutospacing="0"/>
                        <w:rPr>
                          <w:rFonts w:hint="eastAsia"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23</w:t>
                      </w:r>
                      <w:r>
                        <w:rPr>
                          <w:rFonts w:hint="eastAsia" w:ascii="ＭＳ ゴシック" w:hAnsi="ＭＳ ゴシック" w:eastAsia="ＭＳ ゴシック"/>
                        </w:rPr>
                        <w:t>　生活をしている中で、差別や虐待を受けたことはありますか。</w:t>
                      </w:r>
                    </w:p>
                    <w:p>
                      <w:pPr>
                        <w:pStyle w:val="0"/>
                        <w:snapToGrid w:val="0"/>
                        <w:spacing w:before="34" w:beforeLines="10" w:beforeAutospacing="0"/>
                        <w:rPr>
                          <w:rFonts w:hint="eastAsia" w:ascii="ＭＳ ゴシック" w:hAnsi="ＭＳ ゴシック" w:eastAsia="ＭＳ ゴシック"/>
                        </w:rPr>
                      </w:pPr>
                      <w:r>
                        <w:rPr>
                          <w:rFonts w:hint="eastAsia" w:ascii="ＭＳ ゴシック" w:hAnsi="ＭＳ ゴシック" w:eastAsia="ＭＳ ゴシック"/>
                          <w:w w:val="90"/>
                        </w:rPr>
                        <w:t>※「虐待」とは身体的な虐待だけでなく、金銭的な虐待、心理的な虐待、性的な虐待を含みます。</w:t>
                      </w:r>
                    </w:p>
                  </w:txbxContent>
                </v:textbox>
                <v:imagedata o:title=""/>
                <o:lock v:ext="edit" position="t" rotation="t"/>
                <w10:anchorlock/>
              </v:rect>
            </w:pict>
          </mc:Fallback>
        </mc:AlternateContent>
      </w:r>
    </w:p>
    <w:p>
      <w:pPr>
        <w:pStyle w:val="0"/>
        <w:spacing w:line="240" w:lineRule="exact"/>
        <w:rPr>
          <w:rFonts w:hint="eastAsia" w:ascii="ＭＳ 明朝" w:hAnsi="ＭＳ 明朝"/>
          <w:sz w:val="24"/>
        </w:rPr>
      </w:pPr>
    </w:p>
    <w:p>
      <w:pPr>
        <w:pStyle w:val="0"/>
        <w:jc w:val="left"/>
        <w:rPr>
          <w:rFonts w:hint="eastAsia" w:ascii="ＭＳ ゴシック" w:hAnsi="ＭＳ ゴシック" w:eastAsia="ＭＳ ゴシック"/>
          <w:sz w:val="24"/>
        </w:rPr>
      </w:pPr>
      <w:r>
        <w:rPr>
          <w:rFonts w:hint="eastAsia" w:ascii="ＭＳ ゴシック" w:hAnsi="ＭＳ ゴシック" w:eastAsia="ＭＳ ゴシック"/>
          <w:sz w:val="24"/>
        </w:rPr>
        <w:t>　</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　　【差別・虐待経験の有無】　　　　</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　　【相談経験の有無】</w:t>
      </w:r>
    </w:p>
    <w:p>
      <w:pPr>
        <w:pStyle w:val="0"/>
        <w:jc w:val="center"/>
        <w:rPr>
          <w:rFonts w:hint="eastAsia" w:ascii="ＭＳ 明朝" w:hAnsi="ＭＳ 明朝"/>
          <w:sz w:val="24"/>
        </w:rPr>
      </w:pPr>
      <w:r>
        <w:rPr>
          <w:rFonts w:hint="eastAsia" w:ascii="ＭＳ ゴシック" w:hAnsi="ＭＳ ゴシック" w:eastAsia="ＭＳ ゴシック"/>
          <w:sz w:val="24"/>
        </w:rPr>
        <mc:AlternateContent>
          <mc:Choice Requires="wps">
            <w:drawing>
              <wp:anchor simplePos="0" relativeHeight="73" behindDoc="0" locked="0" layoutInCell="1" hidden="0" allowOverlap="1">
                <wp:simplePos x="0" y="0"/>
                <wp:positionH relativeFrom="column">
                  <wp:posOffset>4858385</wp:posOffset>
                </wp:positionH>
                <wp:positionV relativeFrom="paragraph">
                  <wp:posOffset>942975</wp:posOffset>
                </wp:positionV>
                <wp:extent cx="228600" cy="114300"/>
                <wp:effectExtent l="0" t="0" r="635" b="635"/>
                <wp:wrapNone/>
                <wp:docPr id="1101" name="ワードアート:テキスト 20"/>
                <a:graphic xmlns:a="http://schemas.openxmlformats.org/drawingml/2006/main">
                  <a:graphicData uri="http://schemas.microsoft.com/office/word/2010/wordprocessingShape">
                    <wps:wsp>
                      <wps:cNvPr id="1101" name="ワードアート:テキスト 20"/>
                      <wps:cNvSpPr txBox="1">
                        <a:spLocks noChangeArrowheads="1"/>
                      </wps:cNvSpPr>
                      <wps:spPr>
                        <a:xfrm>
                          <a:off x="0" y="0"/>
                          <a:ext cx="228600" cy="114300"/>
                        </a:xfrm>
                        <a:prstGeom prst="rect">
                          <a:avLst/>
                        </a:prstGeom>
                      </wps:spPr>
                      <wps:txbx>
                        <w:txbxContent>
                          <w:p>
                            <w:pPr>
                              <w:pStyle w:val="0"/>
                              <w:snapToGrid w:val="1"/>
                              <w:jc w:val="left"/>
                              <w:rPr>
                                <w:rFonts w:hint="default"/>
                              </w:rPr>
                            </w:pPr>
                            <w:r>
                              <w:rPr>
                                <w:rFonts w:hint="default" w:ascii="ＭＳ ゴシック" w:hAnsi="ＭＳ ゴシック" w:eastAsia="ＭＳ ゴシック"/>
                                <w:color w:val="000000"/>
                                <w:sz w:val="18"/>
                              </w:rPr>
                              <w:t>した</w:t>
                            </w:r>
                          </w:p>
                        </w:txbxContent>
                      </wps:txbx>
                      <wps:bodyPr vertOverflow="overflow" horzOverflow="overflow" wrap="square" numCol="1" fromWordArt="1">
                        <a:prstTxWarp prst="textPlain">
                          <a:avLst/>
                        </a:prstTxWarp>
                        <a:spAutoFit/>
                      </wps:bodyPr>
                    </wps:wsp>
                  </a:graphicData>
                </a:graphic>
              </wp:anchor>
            </w:drawing>
          </mc:Choice>
          <mc:Fallback>
            <w:pict>
              <v:shapetype id="_x0000_t202" coordsize="21600,21600" o:spt="202" path="m,l,21600r21600,l21600,xe">
                <v:stroke joinstyle="miter"/>
                <v:path gradientshapeok="t" o:connecttype="rect"/>
              </v:shapetype>
              <v:shape id="ワードアート:テキスト 20" style="margin-top:74.25pt;mso-position-vertical-relative:text;mso-position-horizontal-relative:text;position:absolute;height:9pt;width:18pt;margin-left:382.55pt;z-index:73;" o:spid="_x0000_s1101" o:allowincell="t" o:allowoverlap="t" filled="f" stroked="f" o:spt="202" type="#_x0000_t202">
                <v:fill/>
                <v:textbox style="layout-flow:horizontal;mso-fit-shape-to-text:t;">
                  <w:txbxContent>
                    <w:p>
                      <w:pPr>
                        <w:pStyle w:val="0"/>
                        <w:snapToGrid w:val="1"/>
                        <w:jc w:val="left"/>
                        <w:rPr>
                          <w:rFonts w:hint="default"/>
                        </w:rPr>
                      </w:pPr>
                      <w:r>
                        <w:rPr>
                          <w:rFonts w:hint="default" w:ascii="ＭＳ ゴシック" w:hAnsi="ＭＳ ゴシック" w:eastAsia="ＭＳ ゴシック"/>
                          <w:color w:val="000000"/>
                          <w:sz w:val="18"/>
                        </w:rPr>
                        <w:t>した</w:t>
                      </w:r>
                    </w:p>
                  </w:txbxContent>
                </v:textbox>
                <v:imagedata o:title=""/>
                <w10:wrap type="none" anchorx="text" anchory="text"/>
              </v:shape>
            </w:pict>
          </mc:Fallback>
        </mc:AlternateContent>
      </w:r>
      <w:r>
        <w:rPr>
          <w:rFonts w:hint="eastAsia" w:ascii="ＭＳ ゴシック" w:hAnsi="ＭＳ ゴシック" w:eastAsia="ＭＳ ゴシック"/>
          <w:sz w:val="24"/>
        </w:rPr>
        <mc:AlternateContent>
          <mc:Choice Requires="wps">
            <w:drawing>
              <wp:anchor simplePos="0" relativeHeight="74" behindDoc="0" locked="0" layoutInCell="1" hidden="0" allowOverlap="1">
                <wp:simplePos x="0" y="0"/>
                <wp:positionH relativeFrom="column">
                  <wp:posOffset>4829810</wp:posOffset>
                </wp:positionH>
                <wp:positionV relativeFrom="paragraph">
                  <wp:posOffset>1136015</wp:posOffset>
                </wp:positionV>
                <wp:extent cx="285750" cy="114300"/>
                <wp:effectExtent l="0" t="0" r="635" b="635"/>
                <wp:wrapNone/>
                <wp:docPr id="1102" name="ワードアート:テキスト 20"/>
                <a:graphic xmlns:a="http://schemas.openxmlformats.org/drawingml/2006/main">
                  <a:graphicData uri="http://schemas.microsoft.com/office/word/2010/wordprocessingShape">
                    <wps:wsp>
                      <wps:cNvPr id="1102" name="ワードアート:テキスト 20"/>
                      <wps:cNvSpPr txBox="1">
                        <a:spLocks noChangeArrowheads="1"/>
                      </wps:cNvSpPr>
                      <wps:spPr>
                        <a:xfrm>
                          <a:off x="0" y="0"/>
                          <a:ext cx="285750" cy="114300"/>
                        </a:xfrm>
                        <a:prstGeom prst="rect">
                          <a:avLst/>
                        </a:prstGeom>
                      </wps:spPr>
                      <wps:txbx>
                        <w:txbxContent>
                          <w:p>
                            <w:pPr>
                              <w:pStyle w:val="0"/>
                              <w:snapToGrid w:val="1"/>
                              <w:jc w:val="center"/>
                              <w:rPr>
                                <w:rFonts w:hint="default"/>
                              </w:rPr>
                            </w:pPr>
                            <w:r>
                              <w:rPr>
                                <w:rFonts w:hint="default" w:ascii="ＭＳ ゴシック" w:hAnsi="ＭＳ ゴシック" w:eastAsia="ＭＳ ゴシック"/>
                                <w:color w:val="000000"/>
                                <w:sz w:val="18"/>
                              </w:rPr>
                              <w:t>55.0%</w:t>
                            </w:r>
                          </w:p>
                        </w:txbxContent>
                      </wps:txbx>
                      <wps:bodyPr vertOverflow="overflow" horzOverflow="overflow" wrap="square" numCol="1" fromWordArt="1">
                        <a:prstTxWarp prst="textPlain">
                          <a:avLst/>
                        </a:prstTxWarp>
                        <a:spAutoFit/>
                      </wps:bodyPr>
                    </wps:wsp>
                  </a:graphicData>
                </a:graphic>
              </wp:anchor>
            </w:drawing>
          </mc:Choice>
          <mc:Fallback>
            <w:pict>
              <v:shapetype id="_x0000_t202" coordsize="21600,21600" o:spt="202" path="m,l,21600r21600,l21600,xe">
                <v:stroke joinstyle="miter"/>
                <v:path gradientshapeok="t" o:connecttype="rect"/>
              </v:shapetype>
              <v:shape id="ワードアート:テキスト 20" style="margin-top:89.45pt;mso-position-vertical-relative:text;mso-position-horizontal-relative:text;position:absolute;height:9pt;width:22.5pt;margin-left:380.3pt;z-index:74;" o:spid="_x0000_s1102" o:allowincell="t" o:allowoverlap="t" filled="f" stroked="f" o:spt="202" type="#_x0000_t202">
                <v:fill/>
                <v:textbox style="layout-flow:horizontal;mso-fit-shape-to-text:t;">
                  <w:txbxContent>
                    <w:p>
                      <w:pPr>
                        <w:pStyle w:val="0"/>
                        <w:snapToGrid w:val="1"/>
                        <w:jc w:val="center"/>
                        <w:rPr>
                          <w:rFonts w:hint="default"/>
                        </w:rPr>
                      </w:pPr>
                      <w:r>
                        <w:rPr>
                          <w:rFonts w:hint="default" w:ascii="ＭＳ ゴシック" w:hAnsi="ＭＳ ゴシック" w:eastAsia="ＭＳ ゴシック"/>
                          <w:color w:val="000000"/>
                          <w:sz w:val="18"/>
                        </w:rPr>
                        <w:t>55.0%</w:t>
                      </w:r>
                    </w:p>
                  </w:txbxContent>
                </v:textbox>
                <v:imagedata o:title=""/>
                <w10:wrap type="none" anchorx="text" anchory="text"/>
              </v:shape>
            </w:pict>
          </mc:Fallback>
        </mc:AlternateContent>
      </w:r>
      <w:r>
        <w:rPr>
          <w:rFonts w:hint="eastAsia"/>
        </w:rPr>
        <w:drawing>
          <wp:anchor distL="203200" distR="203200" simplePos="0" relativeHeight="76" behindDoc="0" locked="0" layoutInCell="1" hidden="0" allowOverlap="1">
            <wp:simplePos x="0" y="0"/>
            <wp:positionH relativeFrom="column">
              <wp:posOffset>3601720</wp:posOffset>
            </wp:positionH>
            <wp:positionV relativeFrom="paragraph">
              <wp:posOffset>179705</wp:posOffset>
            </wp:positionV>
            <wp:extent cx="2466975" cy="2171700"/>
            <wp:effectExtent l="0" t="0" r="0" b="0"/>
            <wp:wrapSquare wrapText="bothSides"/>
            <wp:docPr id="1103" name="オブジェクト 0"/>
            <a:graphic xmlns:a="http://schemas.openxmlformats.org/drawingml/2006/main">
              <a:graphicData uri="http://schemas.openxmlformats.org/drawingml/2006/picture">
                <pic:pic xmlns:pic="http://schemas.openxmlformats.org/drawingml/2006/picture">
                  <pic:nvPicPr>
                    <pic:cNvPr id="1103" name="オブジェクト 0"/>
                    <pic:cNvPicPr>
                      <a:picLocks noChangeAspect="1"/>
                    </pic:cNvPicPr>
                  </pic:nvPicPr>
                  <pic:blipFill>
                    <a:blip r:embed="rId48"/>
                    <a:stretch>
                      <a:fillRect/>
                    </a:stretch>
                  </pic:blipFill>
                  <pic:spPr>
                    <a:xfrm>
                      <a:off x="0" y="0"/>
                      <a:ext cx="2466975" cy="2171700"/>
                    </a:xfrm>
                    <a:prstGeom prst="rect">
                      <a:avLst/>
                    </a:prstGeom>
                    <a:noFill/>
                    <a:ln>
                      <a:miter/>
                    </a:ln>
                  </pic:spPr>
                </pic:pic>
              </a:graphicData>
            </a:graphic>
          </wp:anchor>
        </w:drawing>
      </w:r>
      <w:r>
        <w:rPr>
          <w:rFonts w:hint="eastAsia"/>
        </w:rPr>
        <w:drawing>
          <wp:anchor distL="0" distR="0" simplePos="0" relativeHeight="75" behindDoc="0" locked="0" layoutInCell="1" hidden="0" allowOverlap="1">
            <wp:simplePos x="0" y="0"/>
            <wp:positionH relativeFrom="column">
              <wp:posOffset>609600</wp:posOffset>
            </wp:positionH>
            <wp:positionV relativeFrom="paragraph">
              <wp:posOffset>132080</wp:posOffset>
            </wp:positionV>
            <wp:extent cx="2468880" cy="2170430"/>
            <wp:effectExtent l="0" t="0" r="0" b="0"/>
            <wp:wrapSquare wrapText="bothSides"/>
            <wp:docPr id="1104" name="Picture 21"/>
            <a:graphic xmlns:a="http://schemas.openxmlformats.org/drawingml/2006/main">
              <a:graphicData uri="http://schemas.openxmlformats.org/drawingml/2006/picture">
                <pic:pic xmlns:pic="http://schemas.openxmlformats.org/drawingml/2006/picture">
                  <pic:nvPicPr>
                    <pic:cNvPr id="1104" name="Picture 21"/>
                    <pic:cNvPicPr>
                      <a:picLocks noChangeAspect="1"/>
                    </pic:cNvPicPr>
                  </pic:nvPicPr>
                  <pic:blipFill>
                    <a:blip r:embed="rId49"/>
                    <a:stretch>
                      <a:fillRect/>
                    </a:stretch>
                  </pic:blipFill>
                  <pic:spPr>
                    <a:xfrm>
                      <a:off x="0" y="0"/>
                      <a:ext cx="2468880" cy="2170430"/>
                    </a:xfrm>
                    <a:prstGeom prst="rect">
                      <a:avLst/>
                    </a:prstGeom>
                    <a:noFill/>
                    <a:ln>
                      <a:miter/>
                    </a:ln>
                  </pic:spPr>
                </pic:pic>
              </a:graphicData>
            </a:graphic>
          </wp:anchor>
        </w:drawing>
      </w:r>
      <w:r>
        <w:rPr>
          <w:rFonts w:hint="eastAsia"/>
        </w:rPr>
        <w:t xml:space="preserve">           </w:t>
      </w:r>
    </w:p>
    <w:p>
      <w:pPr>
        <w:pStyle w:val="0"/>
        <w:rPr>
          <w:rFonts w:hint="eastAsia" w:ascii="ＭＳ 明朝" w:hAnsi="ＭＳ 明朝"/>
          <w:sz w:val="24"/>
        </w:rPr>
      </w:pPr>
    </w:p>
    <w:p>
      <w:pPr>
        <w:pStyle w:val="0"/>
        <w:jc w:val="center"/>
        <w:rPr>
          <w:rFonts w:hint="eastAsia" w:ascii="ＭＳ ゴシック" w:hAnsi="ＭＳ ゴシック" w:eastAsia="ＭＳ ゴシック"/>
          <w:sz w:val="24"/>
        </w:rPr>
      </w:pPr>
    </w:p>
    <w:p>
      <w:pPr>
        <w:pStyle w:val="0"/>
        <w:jc w:val="center"/>
        <w:rPr>
          <w:rFonts w:hint="eastAsia" w:ascii="ＭＳ ゴシック" w:hAnsi="ＭＳ ゴシック" w:eastAsia="ＭＳ ゴシック"/>
          <w:sz w:val="24"/>
        </w:rPr>
      </w:pPr>
    </w:p>
    <w:p>
      <w:pPr>
        <w:pStyle w:val="0"/>
        <w:jc w:val="center"/>
        <w:rPr>
          <w:rFonts w:hint="eastAsia" w:ascii="ＭＳ ゴシック" w:hAnsi="ＭＳ ゴシック" w:eastAsia="ＭＳ ゴシック"/>
          <w:sz w:val="24"/>
        </w:rPr>
      </w:pPr>
    </w:p>
    <w:p>
      <w:pPr>
        <w:pStyle w:val="0"/>
        <w:jc w:val="center"/>
        <w:rPr>
          <w:rFonts w:hint="eastAsia" w:ascii="ＭＳ ゴシック" w:hAnsi="ＭＳ ゴシック" w:eastAsia="ＭＳ ゴシック"/>
          <w:sz w:val="24"/>
        </w:rPr>
      </w:pPr>
    </w:p>
    <w:p>
      <w:pPr>
        <w:pStyle w:val="0"/>
        <w:jc w:val="center"/>
        <w:rPr>
          <w:rFonts w:hint="eastAsia" w:ascii="ＭＳ ゴシック" w:hAnsi="ＭＳ ゴシック" w:eastAsia="ＭＳ ゴシック"/>
          <w:sz w:val="24"/>
        </w:rPr>
      </w:pPr>
      <w:r>
        <w:rPr>
          <w:rFonts w:hint="eastAsia"/>
        </w:rPr>
        <mc:AlternateContent>
          <mc:Choice Requires="wps">
            <w:drawing>
              <wp:anchor distL="203200" distR="203200" simplePos="0" relativeHeight="78" behindDoc="0" locked="0" layoutInCell="1" hidden="0" allowOverlap="1">
                <wp:simplePos x="0" y="0"/>
                <wp:positionH relativeFrom="column">
                  <wp:posOffset>4722495</wp:posOffset>
                </wp:positionH>
                <wp:positionV relativeFrom="paragraph">
                  <wp:posOffset>97155</wp:posOffset>
                </wp:positionV>
                <wp:extent cx="662305" cy="412750"/>
                <wp:effectExtent l="635" t="635" r="29845" b="10795"/>
                <wp:wrapNone/>
                <wp:docPr id="1105" name="オブジェクト 0"/>
                <a:graphic xmlns:a="http://schemas.openxmlformats.org/drawingml/2006/main">
                  <a:graphicData uri="http://schemas.microsoft.com/office/word/2010/wordprocessingShape">
                    <wps:wsp>
                      <wps:cNvPr id="1105" name="オブジェクト 0"/>
                      <wps:cNvSpPr>
                        <a:spLocks noChangeArrowheads="1"/>
                      </wps:cNvSpPr>
                      <wps:spPr>
                        <a:xfrm>
                          <a:off x="0" y="0"/>
                          <a:ext cx="662305" cy="412750"/>
                        </a:xfrm>
                        <a:prstGeom prst="ellipse">
                          <a:avLst/>
                        </a:prstGeom>
                        <a:noFill/>
                        <a:ln w="15875">
                          <a:solidFill>
                            <a:sysClr val="windowText" lastClr="000000"/>
                          </a:solidFill>
                        </a:ln>
                      </wps:spPr>
                      <wps:bodyPr/>
                    </wps:wsp>
                  </a:graphicData>
                </a:graphic>
              </wp:anchor>
            </w:drawing>
          </mc:Choice>
          <mc:Fallback>
            <w:pict>
              <v:oval id="オブジェクト 0" style="mso-wrap-distance-right:16pt;margin-top:7.65pt;mso-position-vertical-relative:text;mso-position-horizontal-relative:text;position:absolute;height:32.5pt;width:52.15pt;mso-wrap-distance-left:16pt;margin-left:371.85pt;z-index:78;" o:spid="_x0000_s1105" o:allowincell="t" o:allowoverlap="t" filled="f" stroked="t" strokecolor="#000000" strokeweight="1.25pt" o:spt="3">
                <v:fill/>
                <v:stroke filltype="solid"/>
                <v:textbox style="layout-flow:horizontal;"/>
                <v:imagedata o:title=""/>
                <w10:wrap type="none" anchorx="text" anchory="text"/>
              </v:oval>
            </w:pict>
          </mc:Fallback>
        </mc:AlternateContent>
      </w:r>
    </w:p>
    <w:p>
      <w:pPr>
        <w:pStyle w:val="0"/>
        <w:jc w:val="center"/>
        <w:rPr>
          <w:rFonts w:hint="eastAsia" w:ascii="ＭＳ ゴシック" w:hAnsi="ＭＳ ゴシック" w:eastAsia="ＭＳ ゴシック"/>
          <w:sz w:val="24"/>
        </w:rPr>
      </w:pPr>
    </w:p>
    <w:p>
      <w:pPr>
        <w:pStyle w:val="0"/>
        <w:jc w:val="center"/>
        <w:rPr>
          <w:rFonts w:hint="eastAsia" w:ascii="ＭＳ ゴシック" w:hAnsi="ＭＳ ゴシック" w:eastAsia="ＭＳ ゴシック"/>
          <w:sz w:val="24"/>
        </w:rPr>
      </w:pPr>
      <w:r>
        <w:rPr>
          <w:rFonts w:hint="eastAsia"/>
        </w:rPr>
        <mc:AlternateContent>
          <mc:Choice Requires="wps">
            <w:drawing>
              <wp:anchor distL="203200" distR="203200" simplePos="0" relativeHeight="79" behindDoc="0" locked="0" layoutInCell="1" hidden="0" allowOverlap="1">
                <wp:simplePos x="0" y="0"/>
                <wp:positionH relativeFrom="column">
                  <wp:posOffset>2867025</wp:posOffset>
                </wp:positionH>
                <wp:positionV relativeFrom="paragraph">
                  <wp:posOffset>69215</wp:posOffset>
                </wp:positionV>
                <wp:extent cx="2133600" cy="914400"/>
                <wp:effectExtent l="635" t="635" r="29845" b="15240"/>
                <wp:wrapNone/>
                <wp:docPr id="1106" name="オブジェクト 0"/>
                <a:graphic xmlns:a="http://schemas.openxmlformats.org/drawingml/2006/main">
                  <a:graphicData uri="http://schemas.microsoft.com/office/word/2010/wordprocessingShape">
                    <wps:wsp>
                      <wps:cNvPr id="1106" name="オブジェクト 0"/>
                      <wps:cNvSpPr/>
                      <wps:spPr>
                        <a:xfrm flipH="1">
                          <a:off x="0" y="0"/>
                          <a:ext cx="2133600" cy="914400"/>
                        </a:xfrm>
                        <a:prstGeom prst="line">
                          <a:avLst/>
                        </a:prstGeom>
                        <a:noFill/>
                        <a:ln w="15875">
                          <a:solidFill>
                            <a:sysClr val="windowText" lastClr="000000"/>
                          </a:solidFill>
                          <a:miter/>
                          <a:tailEnd type="triangle"/>
                        </a:ln>
                      </wps:spPr>
                      <wps:bodyPr/>
                    </wps:wsp>
                  </a:graphicData>
                </a:graphic>
              </wp:anchor>
            </w:drawing>
          </mc:Choice>
          <mc:Fallback>
            <w:pict>
              <v:line id="オブジェクト 0" style="flip:x;mso-wrap-distance-right:16pt;mso-position-vertical-relative:text;mso-position-horizontal-relative:text;position:absolute;mso-wrap-distance-left:16pt;z-index:79;" o:spid="_x0000_s1106" o:allowincell="t" o:allowoverlap="t" filled="f" stroked="t" strokecolor="#000000" strokeweight="1.25pt" o:spt="20" from="225.75pt,5.45pt" to="393.75pt,77.45pt">
                <v:fill/>
                <v:stroke filltype="solid" endarrow="block"/>
                <v:textbox style="layout-flow:horizontal;"/>
                <v:imagedata o:title=""/>
                <w10:wrap type="none" anchorx="text" anchory="text"/>
              </v:line>
            </w:pict>
          </mc:Fallback>
        </mc:AlternateContent>
      </w:r>
    </w:p>
    <w:p>
      <w:pPr>
        <w:pStyle w:val="0"/>
        <w:jc w:val="center"/>
        <w:rPr>
          <w:rFonts w:hint="eastAsia" w:ascii="ＭＳ ゴシック" w:hAnsi="ＭＳ ゴシック" w:eastAsia="ＭＳ ゴシック"/>
          <w:sz w:val="24"/>
        </w:rPr>
      </w:pPr>
    </w:p>
    <w:p>
      <w:pPr>
        <w:pStyle w:val="0"/>
        <w:jc w:val="center"/>
        <w:rPr>
          <w:rFonts w:hint="eastAsia" w:ascii="ＭＳ ゴシック" w:hAnsi="ＭＳ ゴシック" w:eastAsia="ＭＳ ゴシック"/>
          <w:sz w:val="24"/>
        </w:rPr>
      </w:pPr>
    </w:p>
    <w:p>
      <w:pPr>
        <w:pStyle w:val="0"/>
        <w:jc w:val="center"/>
        <w:rPr>
          <w:rFonts w:hint="eastAsia" w:ascii="ＭＳ ゴシック" w:hAnsi="ＭＳ ゴシック" w:eastAsia="ＭＳ ゴシック"/>
          <w:sz w:val="24"/>
        </w:rPr>
      </w:pPr>
    </w:p>
    <w:p>
      <w:pPr>
        <w:pStyle w:val="0"/>
        <w:rPr>
          <w:rFonts w:hint="eastAsia" w:ascii="ＭＳ ゴシック" w:hAnsi="ＭＳ ゴシック" w:eastAsia="ＭＳ ゴシック"/>
          <w:sz w:val="24"/>
        </w:rPr>
      </w:pPr>
      <w:r>
        <w:rPr>
          <w:rFonts w:hint="default" w:ascii="ＭＳ 明朝" w:hAnsi="ＭＳ 明朝"/>
          <w:sz w:val="24"/>
        </w:rPr>
        <mc:AlternateContent>
          <mc:Choice Requires="wps">
            <w:drawing>
              <wp:inline>
                <wp:extent cx="6054090" cy="280035"/>
                <wp:effectExtent l="635" t="635" r="29845" b="10795"/>
                <wp:docPr id="1107" name="Rectangle 248"/>
                <a:graphic xmlns:a="http://schemas.openxmlformats.org/drawingml/2006/main">
                  <a:graphicData uri="http://schemas.microsoft.com/office/word/2010/wordprocessingShape">
                    <wps:wsp>
                      <wps:cNvPr id="1107" name="Rectangle 248"/>
                      <wps:cNvSpPr>
                        <a:spLocks noRot="1" noMove="1" noResize="1" noChangeArrowheads="1"/>
                      </wps:cNvSpPr>
                      <wps:spPr>
                        <a:xfrm>
                          <a:off x="0" y="0"/>
                          <a:ext cx="6054090" cy="280035"/>
                        </a:xfrm>
                        <a:prstGeom prst="rect">
                          <a:avLst/>
                        </a:prstGeom>
                        <a:solidFill>
                          <a:srgbClr val="FFFFFF"/>
                        </a:solidFill>
                        <a:ln w="9525">
                          <a:solidFill>
                            <a:sysClr val="windowText" lastClr="000000"/>
                          </a:solidFill>
                          <a:miter/>
                        </a:ln>
                      </wps:spPr>
                      <wps:txbx>
                        <w:txbxContent>
                          <w:p>
                            <w:pPr>
                              <w:pStyle w:val="0"/>
                              <w:spacing w:before="34" w:beforeLines="10" w:beforeAutospacing="0"/>
                              <w:rPr>
                                <w:rFonts w:hint="default"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23-4</w:t>
                            </w:r>
                            <w:r>
                              <w:rPr>
                                <w:rFonts w:hint="eastAsia" w:ascii="ＭＳ ゴシック" w:hAnsi="ＭＳ ゴシック" w:eastAsia="ＭＳ ゴシック"/>
                              </w:rPr>
                              <w:t>　（上記において相談した方について）その相談は解決しましたか。（新規調査）</w:t>
                            </w:r>
                          </w:p>
                        </w:txbxContent>
                      </wps:txbx>
                      <wps:bodyPr vertOverflow="overflow" horzOverflow="overflow" lIns="74159" tIns="8999" rIns="74159" bIns="8999" anchor="ctr" upright="1"/>
                    </wps:wsp>
                  </a:graphicData>
                </a:graphic>
              </wp:inline>
            </w:drawing>
          </mc:Choice>
          <mc:Fallback>
            <w:pict>
              <v:rect id="Rectangle 248" style="v-text-anchor:middle;height:22.05pt;width:476.7pt;" o:spid="_x0000_s1107" filled="t" fillcolor="#ffffff" stroked="t" strokecolor="#000000" strokeweight="0.75pt" o:spt="1">
                <v:fill/>
                <v:stroke filltype="solid"/>
                <v:textbox style="layout-flow:horizontal;" inset="2.0599722222222216mm,0.24997222222222218mm,2.0599722222222216mm,0.24997222222222218mm">
                  <w:txbxContent>
                    <w:p>
                      <w:pPr>
                        <w:pStyle w:val="0"/>
                        <w:spacing w:before="34" w:beforeLines="10" w:beforeAutospacing="0"/>
                        <w:rPr>
                          <w:rFonts w:hint="default"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23-4</w:t>
                      </w:r>
                      <w:r>
                        <w:rPr>
                          <w:rFonts w:hint="eastAsia" w:ascii="ＭＳ ゴシック" w:hAnsi="ＭＳ ゴシック" w:eastAsia="ＭＳ ゴシック"/>
                        </w:rPr>
                        <w:t>　（上記において相談した方について）その相談は解決しましたか。（新規調査）</w:t>
                      </w:r>
                    </w:p>
                  </w:txbxContent>
                </v:textbox>
                <v:imagedata o:title=""/>
                <o:lock v:ext="edit" position="t" rotation="t"/>
                <w10:anchorlock/>
              </v:rect>
            </w:pict>
          </mc:Fallback>
        </mc:AlternateContent>
      </w:r>
    </w:p>
    <w:p>
      <w:pPr>
        <w:pStyle w:val="0"/>
        <w:rPr>
          <w:rFonts w:hint="eastAsia" w:ascii="ＭＳ 明朝" w:hAnsi="ＭＳ 明朝"/>
          <w:sz w:val="24"/>
        </w:rPr>
      </w:pPr>
      <w:r>
        <w:rPr>
          <w:rFonts w:hint="eastAsia"/>
        </w:rPr>
        <w:drawing>
          <wp:anchor distL="203200" distR="203200" simplePos="0" relativeHeight="77" behindDoc="0" locked="0" layoutInCell="1" hidden="0" allowOverlap="1">
            <wp:simplePos x="0" y="0"/>
            <wp:positionH relativeFrom="column">
              <wp:posOffset>1098550</wp:posOffset>
            </wp:positionH>
            <wp:positionV relativeFrom="paragraph">
              <wp:posOffset>102870</wp:posOffset>
            </wp:positionV>
            <wp:extent cx="4086225" cy="2447925"/>
            <wp:effectExtent l="0" t="0" r="0" b="0"/>
            <wp:wrapSquare wrapText="bothSides"/>
            <wp:docPr id="1108" name="オブジェクト 0"/>
            <a:graphic xmlns:a="http://schemas.openxmlformats.org/drawingml/2006/main">
              <a:graphicData uri="http://schemas.openxmlformats.org/drawingml/2006/picture">
                <pic:pic xmlns:pic="http://schemas.openxmlformats.org/drawingml/2006/picture">
                  <pic:nvPicPr>
                    <pic:cNvPr id="1108" name="オブジェクト 0"/>
                    <pic:cNvPicPr>
                      <a:picLocks noChangeAspect="1"/>
                    </pic:cNvPicPr>
                  </pic:nvPicPr>
                  <pic:blipFill>
                    <a:blip r:embed="rId50"/>
                    <a:stretch>
                      <a:fillRect/>
                    </a:stretch>
                  </pic:blipFill>
                  <pic:spPr>
                    <a:xfrm>
                      <a:off x="0" y="0"/>
                      <a:ext cx="4086225" cy="2447925"/>
                    </a:xfrm>
                    <a:prstGeom prst="rect">
                      <a:avLst/>
                    </a:prstGeom>
                    <a:noFill/>
                    <a:ln>
                      <a:miter/>
                    </a:ln>
                  </pic:spPr>
                </pic:pic>
              </a:graphicData>
            </a:graphic>
          </wp:anchor>
        </w:drawing>
      </w:r>
      <w:r>
        <w:rPr>
          <w:rFonts w:hint="eastAsia"/>
        </w:rPr>
        <w:t>　　　　　　　　　　　</w:t>
      </w:r>
      <w:r>
        <w:rPr>
          <w:rFonts w:hint="eastAsia"/>
        </w:rPr>
        <w:t xml:space="preserve"> </w:t>
      </w:r>
    </w:p>
    <w:p>
      <w:pPr>
        <w:pStyle w:val="0"/>
        <w:rPr>
          <w:rFonts w:hint="eastAsia" w:ascii="ＭＳ 明朝" w:hAnsi="ＭＳ 明朝"/>
          <w:sz w:val="24"/>
        </w:rPr>
      </w:pPr>
    </w:p>
    <w:p>
      <w:pPr>
        <w:pStyle w:val="0"/>
        <w:rPr>
          <w:rFonts w:hint="eastAsia" w:ascii="ＭＳ 明朝" w:hAnsi="ＭＳ 明朝"/>
          <w:sz w:val="24"/>
        </w:rPr>
      </w:pPr>
    </w:p>
    <w:p>
      <w:pPr>
        <w:pStyle w:val="0"/>
        <w:rPr>
          <w:rFonts w:hint="eastAsia" w:ascii="ＭＳ 明朝" w:hAnsi="ＭＳ 明朝"/>
          <w:sz w:val="24"/>
        </w:rPr>
      </w:pPr>
    </w:p>
    <w:p>
      <w:pPr>
        <w:pStyle w:val="0"/>
        <w:rPr>
          <w:rFonts w:hint="eastAsia" w:ascii="ＭＳ 明朝" w:hAnsi="ＭＳ 明朝"/>
          <w:sz w:val="24"/>
        </w:rPr>
      </w:pPr>
    </w:p>
    <w:p>
      <w:pPr>
        <w:pStyle w:val="0"/>
        <w:rPr>
          <w:rFonts w:hint="eastAsia" w:ascii="ＭＳ 明朝" w:hAnsi="ＭＳ 明朝"/>
          <w:sz w:val="24"/>
        </w:rPr>
      </w:pPr>
    </w:p>
    <w:p>
      <w:pPr>
        <w:pStyle w:val="0"/>
        <w:rPr>
          <w:rFonts w:hint="eastAsia" w:ascii="ＭＳ 明朝" w:hAnsi="ＭＳ 明朝"/>
          <w:sz w:val="24"/>
        </w:rPr>
      </w:pPr>
    </w:p>
    <w:p>
      <w:pPr>
        <w:pStyle w:val="0"/>
        <w:rPr>
          <w:rFonts w:hint="eastAsia" w:ascii="ＭＳ 明朝" w:hAnsi="ＭＳ 明朝"/>
          <w:sz w:val="24"/>
        </w:rPr>
      </w:pPr>
    </w:p>
    <w:p>
      <w:pPr>
        <w:pStyle w:val="0"/>
        <w:rPr>
          <w:rFonts w:hint="eastAsia" w:ascii="ＭＳ 明朝" w:hAnsi="ＭＳ 明朝"/>
          <w:sz w:val="24"/>
        </w:rPr>
      </w:pPr>
    </w:p>
    <w:p>
      <w:pPr>
        <w:pStyle w:val="0"/>
        <w:rPr>
          <w:rFonts w:hint="eastAsia" w:ascii="ＭＳ 明朝" w:hAnsi="ＭＳ 明朝"/>
          <w:sz w:val="24"/>
        </w:rPr>
      </w:pPr>
    </w:p>
    <w:p>
      <w:pPr>
        <w:pStyle w:val="0"/>
        <w:rPr>
          <w:rFonts w:hint="eastAsia" w:ascii="ＭＳ 明朝" w:hAnsi="ＭＳ 明朝"/>
          <w:sz w:val="24"/>
        </w:rPr>
      </w:pPr>
    </w:p>
    <w:p>
      <w:pPr>
        <w:pStyle w:val="0"/>
        <w:rPr>
          <w:rFonts w:hint="eastAsia" w:ascii="ＭＳ 明朝" w:hAnsi="ＭＳ 明朝"/>
          <w:sz w:val="24"/>
        </w:rPr>
      </w:pPr>
    </w:p>
    <w:p>
      <w:pPr>
        <w:pStyle w:val="0"/>
        <w:ind w:firstLine="240" w:firstLineChars="100"/>
        <w:rPr>
          <w:rFonts w:hint="eastAsia" w:ascii="ＭＳ ゴシック" w:hAnsi="ＭＳ ゴシック" w:eastAsia="ＭＳ ゴシック"/>
          <w:sz w:val="24"/>
        </w:rPr>
      </w:pPr>
      <w:r>
        <w:rPr>
          <w:rFonts w:hint="eastAsia" w:ascii="ＭＳ ゴシック" w:hAnsi="ＭＳ ゴシック" w:eastAsia="ＭＳ ゴシック"/>
          <w:sz w:val="24"/>
        </w:rPr>
        <w:t>生活をしている中で、差別や虐待を受けたことが「ある」方の割合は</w:t>
      </w:r>
      <w:r>
        <w:rPr>
          <w:rFonts w:hint="eastAsia" w:ascii="ＭＳ ゴシック" w:hAnsi="ＭＳ ゴシック" w:eastAsia="ＭＳ ゴシック"/>
          <w:sz w:val="24"/>
        </w:rPr>
        <w:t>17.3</w:t>
      </w:r>
      <w:r>
        <w:rPr>
          <w:rFonts w:hint="eastAsia" w:ascii="ＭＳ ゴシック" w:hAnsi="ＭＳ ゴシック" w:eastAsia="ＭＳ ゴシック"/>
          <w:sz w:val="24"/>
        </w:rPr>
        <w:t>％でした。</w:t>
      </w:r>
    </w:p>
    <w:p>
      <w:pPr>
        <w:pStyle w:val="0"/>
        <w:ind w:firstLine="240" w:firstLineChars="100"/>
        <w:rPr>
          <w:rFonts w:hint="eastAsia" w:ascii="ＭＳ ゴシック" w:hAnsi="ＭＳ ゴシック" w:eastAsia="ＭＳ ゴシック"/>
          <w:sz w:val="24"/>
        </w:rPr>
      </w:pPr>
      <w:r>
        <w:rPr>
          <w:rFonts w:hint="eastAsia" w:ascii="ＭＳ ゴシック" w:hAnsi="ＭＳ ゴシック" w:eastAsia="ＭＳ ゴシック"/>
          <w:sz w:val="24"/>
        </w:rPr>
        <w:t>また、差別や虐待を受けたことがある方のうち、</w:t>
      </w:r>
      <w:r>
        <w:rPr>
          <w:rFonts w:hint="eastAsia" w:ascii="ＭＳ ゴシック" w:hAnsi="ＭＳ ゴシック" w:eastAsia="ＭＳ ゴシック"/>
          <w:sz w:val="24"/>
        </w:rPr>
        <w:t>57.8</w:t>
      </w:r>
      <w:r>
        <w:rPr>
          <w:rFonts w:hint="eastAsia" w:ascii="ＭＳ ゴシック" w:hAnsi="ＭＳ ゴシック" w:eastAsia="ＭＳ ゴシック"/>
          <w:sz w:val="24"/>
        </w:rPr>
        <w:t>％が差別や虐待を受けたことを誰かに相談していますが、「相談したが解決していない」</w:t>
      </w:r>
      <w:r>
        <w:rPr>
          <w:rFonts w:hint="eastAsia" w:ascii="ＭＳ ゴシック" w:hAnsi="ＭＳ ゴシック" w:eastAsia="ＭＳ ゴシック"/>
          <w:sz w:val="24"/>
        </w:rPr>
        <w:t>29.4</w:t>
      </w:r>
      <w:r>
        <w:rPr>
          <w:rFonts w:hint="eastAsia" w:ascii="ＭＳ ゴシック" w:hAnsi="ＭＳ ゴシック" w:eastAsia="ＭＳ ゴシック"/>
          <w:sz w:val="24"/>
        </w:rPr>
        <w:t>％、「相談したが対応してもらえなかった」</w:t>
      </w:r>
      <w:r>
        <w:rPr>
          <w:rFonts w:hint="eastAsia" w:ascii="ＭＳ ゴシック" w:hAnsi="ＭＳ ゴシック" w:eastAsia="ＭＳ ゴシック"/>
          <w:sz w:val="24"/>
        </w:rPr>
        <w:t>8.0</w:t>
      </w:r>
      <w:r>
        <w:rPr>
          <w:rFonts w:hint="eastAsia" w:ascii="ＭＳ ゴシック" w:hAnsi="ＭＳ ゴシック" w:eastAsia="ＭＳ ゴシック"/>
          <w:sz w:val="24"/>
        </w:rPr>
        <w:t>％と、問題が解決していないのは３割以上となっています。</w:t>
      </w:r>
    </w:p>
    <w:p>
      <w:pPr>
        <w:pStyle w:val="0"/>
        <w:ind w:firstLine="240" w:firstLineChars="100"/>
        <w:rPr>
          <w:rFonts w:hint="eastAsia" w:ascii="ＭＳ ゴシック" w:hAnsi="ＭＳ ゴシック" w:eastAsia="ＭＳ ゴシック"/>
          <w:sz w:val="24"/>
        </w:rPr>
      </w:pPr>
    </w:p>
    <w:tbl>
      <w:tblPr>
        <w:tblStyle w:val="11"/>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0" w:lastRow="0" w:firstColumn="0" w:lastColumn="0" w:noHBand="1" w:noVBand="1" w:val="0600"/>
      </w:tblPr>
      <w:tblGrid>
        <w:gridCol w:w="6825"/>
        <w:gridCol w:w="1224"/>
        <w:gridCol w:w="559"/>
        <w:gridCol w:w="1263"/>
      </w:tblGrid>
      <w:tr>
        <w:trPr>
          <w:trHeight w:val="731" w:hRule="atLeast"/>
        </w:trPr>
        <w:tc>
          <w:tcPr>
            <w:tcW w:w="6825" w:type="dxa"/>
            <w:tcBorders>
              <w:top w:val="double" w:color="auto" w:sz="4" w:space="0"/>
              <w:left w:val="double" w:color="auto" w:sz="4" w:space="0"/>
              <w:bottom w:val="double" w:color="auto" w:sz="4" w:space="0"/>
              <w:right w:val="double" w:color="auto" w:sz="4" w:space="0"/>
              <w:tl2br w:val="nil"/>
              <w:tr2bl w:val="nil"/>
            </w:tcBorders>
            <w:shd w:val="clear" w:color="auto" w:fill="auto"/>
            <w:vAlign w:val="center"/>
          </w:tcPr>
          <w:p>
            <w:pPr>
              <w:pStyle w:val="0"/>
              <w:snapToGrid w:val="0"/>
              <w:rPr>
                <w:rFonts w:hint="eastAsia" w:ascii="ＭＳ ゴシック" w:hAnsi="ＭＳ ゴシック" w:eastAsia="ＭＳ ゴシック"/>
                <w:sz w:val="24"/>
              </w:rPr>
            </w:pPr>
            <w:r>
              <w:rPr>
                <w:rFonts w:hint="eastAsia" w:ascii="ＭＳ ゴシック" w:hAnsi="ＭＳ ゴシック" w:eastAsia="ＭＳ ゴシック"/>
                <w:sz w:val="24"/>
              </w:rPr>
              <w:t>70</w:t>
            </w:r>
            <w:r>
              <w:rPr>
                <w:rFonts w:hint="eastAsia" w:ascii="ＭＳ ゴシック" w:hAnsi="ＭＳ ゴシック" w:eastAsia="ＭＳ ゴシック"/>
                <w:sz w:val="24"/>
              </w:rPr>
              <w:t>歳以上の介助者の割合</w:t>
            </w:r>
          </w:p>
        </w:tc>
        <w:tc>
          <w:tcPr>
            <w:tcW w:w="1224" w:type="dxa"/>
            <w:tcBorders>
              <w:top w:val="nil"/>
              <w:left w:val="double" w:color="auto" w:sz="4" w:space="0"/>
              <w:bottom w:val="nil"/>
              <w:right w:val="nil"/>
              <w:tl2br w:val="nil"/>
              <w:tr2bl w:val="nil"/>
            </w:tcBorders>
            <w:shd w:val="clear" w:color="auto" w:fill="auto"/>
            <w:vAlign w:val="center"/>
          </w:tcPr>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H28</w:t>
            </w:r>
            <w:r>
              <w:rPr>
                <w:rFonts w:hint="eastAsia" w:ascii="ＭＳ ゴシック" w:hAnsi="ＭＳ ゴシック" w:eastAsia="ＭＳ ゴシック"/>
                <w:sz w:val="24"/>
              </w:rPr>
              <w:t>調査</w:t>
            </w:r>
          </w:p>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20.1%</w:t>
            </w:r>
          </w:p>
        </w:tc>
        <w:tc>
          <w:tcPr>
            <w:tcW w:w="559" w:type="dxa"/>
            <w:tcBorders>
              <w:top w:val="nil"/>
              <w:left w:val="nil"/>
              <w:bottom w:val="nil"/>
              <w:right w:val="nil"/>
              <w:tl2br w:val="nil"/>
              <w:tr2bl w:val="nil"/>
            </w:tcBorders>
            <w:shd w:val="clear" w:color="auto" w:fill="auto"/>
            <w:vAlign w:val="top"/>
          </w:tcPr>
          <w:p>
            <w:pPr>
              <w:pStyle w:val="0"/>
              <w:snapToGrid w:val="0"/>
              <w:jc w:val="center"/>
              <w:rPr>
                <w:rFonts w:hint="eastAsia" w:ascii="ＭＳ ゴシック" w:hAnsi="ＭＳ ゴシック" w:eastAsia="ＭＳ ゴシック"/>
                <w:sz w:val="24"/>
              </w:rPr>
            </w:pPr>
          </w:p>
          <w:p>
            <w:pPr>
              <w:pStyle w:val="0"/>
              <w:snapToGrid w:val="0"/>
              <w:rPr>
                <w:rFonts w:hint="eastAsia" w:ascii="ＭＳ ゴシック" w:hAnsi="ＭＳ ゴシック" w:eastAsia="ＭＳ ゴシック"/>
                <w:sz w:val="24"/>
              </w:rPr>
            </w:pPr>
            <w:r>
              <w:rPr>
                <w:rFonts w:hint="default" w:ascii="ＭＳ ゴシック" w:hAnsi="ＭＳ ゴシック" w:eastAsia="ＭＳ ゴシック"/>
                <w:sz w:val="24"/>
              </w:rPr>
              <mc:AlternateContent>
                <mc:Choice Requires="wps">
                  <w:drawing>
                    <wp:inline>
                      <wp:extent cx="200025" cy="228600"/>
                      <wp:effectExtent l="635" t="1270" r="29845" b="11430"/>
                      <wp:docPr id="1109" name="AutoShape 669"/>
                      <a:graphic xmlns:a="http://schemas.openxmlformats.org/drawingml/2006/main">
                        <a:graphicData uri="http://schemas.microsoft.com/office/word/2010/wordprocessingShape">
                          <wps:wsp>
                            <wps:cNvPr id="1109" name="AutoShape 669"/>
                            <wps:cNvSpPr>
                              <a:spLocks noRot="1" noMove="1" noResize="1" noChangeArrowheads="1"/>
                            </wps:cNvSpPr>
                            <wps:spPr>
                              <a:xfrm>
                                <a:off x="0" y="0"/>
                                <a:ext cx="200025" cy="228600"/>
                              </a:xfrm>
                              <a:prstGeom prst="rightArrow">
                                <a:avLst>
                                  <a:gd name="adj1" fmla="val 50000"/>
                                  <a:gd name="adj2" fmla="val 48889"/>
                                </a:avLst>
                              </a:prstGeom>
                              <a:solidFill>
                                <a:srgbClr val="C0C0C0"/>
                              </a:solidFill>
                              <a:ln w="9525">
                                <a:solidFill>
                                  <a:sysClr val="windowText" lastClr="000000"/>
                                </a:solidFill>
                                <a:miter/>
                              </a:ln>
                            </wps:spPr>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69" style="height:18pt;width:15.75pt;" o:spid="_x0000_s1109" filled="t" fillcolor="#c0c0c0" stroked="t" strokecolor="#000000" strokeweight="0.75pt" o:spt="13" type="#_x0000_t13" adj="11040,5400">
                      <v:fill/>
                      <v:stroke filltype="solid"/>
                      <v:textbox style="layout-flow:horizontal;"/>
                      <v:imagedata o:title=""/>
                      <o:lock v:ext="edit" position="t" rotation="t"/>
                      <w10:anchorlock/>
                    </v:shape>
                  </w:pict>
                </mc:Fallback>
              </mc:AlternateContent>
            </w:r>
          </w:p>
        </w:tc>
        <w:tc>
          <w:tcPr>
            <w:tcW w:w="1263" w:type="dxa"/>
            <w:tcBorders>
              <w:top w:val="nil"/>
              <w:left w:val="nil"/>
              <w:bottom w:val="nil"/>
              <w:right w:val="nil"/>
              <w:tl2br w:val="nil"/>
              <w:tr2bl w:val="nil"/>
            </w:tcBorders>
            <w:shd w:val="clear" w:color="auto" w:fill="auto"/>
            <w:vAlign w:val="center"/>
          </w:tcPr>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R2</w:t>
            </w:r>
            <w:r>
              <w:rPr>
                <w:rFonts w:hint="eastAsia" w:ascii="ＭＳ ゴシック" w:hAnsi="ＭＳ ゴシック" w:eastAsia="ＭＳ ゴシック"/>
                <w:sz w:val="24"/>
              </w:rPr>
              <w:t>調査</w:t>
            </w:r>
          </w:p>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24.3%</w:t>
            </w:r>
          </w:p>
        </w:tc>
      </w:tr>
    </w:tbl>
    <w:p>
      <w:pPr>
        <w:pStyle w:val="0"/>
        <w:rPr>
          <w:rFonts w:hint="eastAsia" w:ascii="ＭＳ 明朝" w:hAnsi="ＭＳ 明朝"/>
          <w:sz w:val="24"/>
        </w:rPr>
      </w:pPr>
      <w:r>
        <w:rPr>
          <w:rFonts w:hint="default" w:ascii="ＭＳ 明朝" w:hAnsi="ＭＳ 明朝"/>
          <w:sz w:val="24"/>
        </w:rPr>
        <mc:AlternateContent>
          <mc:Choice Requires="wps">
            <w:drawing>
              <wp:inline>
                <wp:extent cx="6054090" cy="280035"/>
                <wp:effectExtent l="635" t="635" r="29845" b="10795"/>
                <wp:docPr id="1110" name="Rectangle 673"/>
                <a:graphic xmlns:a="http://schemas.openxmlformats.org/drawingml/2006/main">
                  <a:graphicData uri="http://schemas.microsoft.com/office/word/2010/wordprocessingShape">
                    <wps:wsp>
                      <wps:cNvPr id="1110" name="Rectangle 673"/>
                      <wps:cNvSpPr>
                        <a:spLocks noRot="1" noMove="1" noResize="1" noChangeArrowheads="1"/>
                      </wps:cNvSpPr>
                      <wps:spPr>
                        <a:xfrm>
                          <a:off x="0" y="0"/>
                          <a:ext cx="6054090" cy="280035"/>
                        </a:xfrm>
                        <a:prstGeom prst="rect">
                          <a:avLst/>
                        </a:prstGeom>
                        <a:solidFill>
                          <a:srgbClr val="FFFFFF"/>
                        </a:solidFill>
                        <a:ln w="9525">
                          <a:solidFill>
                            <a:sysClr val="windowText" lastClr="000000"/>
                          </a:solidFill>
                          <a:miter/>
                        </a:ln>
                      </wps:spPr>
                      <wps:txbx>
                        <w:txbxContent>
                          <w:p>
                            <w:pPr>
                              <w:pStyle w:val="0"/>
                              <w:spacing w:before="34" w:beforeLines="10" w:beforeAutospacing="0"/>
                              <w:rPr>
                                <w:rFonts w:hint="default"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8-2</w:t>
                            </w:r>
                            <w:r>
                              <w:rPr>
                                <w:rFonts w:hint="eastAsia" w:ascii="ＭＳ ゴシック" w:hAnsi="ＭＳ ゴシック" w:eastAsia="ＭＳ ゴシック"/>
                              </w:rPr>
                              <w:t>　あなたを主に介助してくれる方の年齢層を教えてください。</w:t>
                            </w:r>
                          </w:p>
                        </w:txbxContent>
                      </wps:txbx>
                      <wps:bodyPr vertOverflow="overflow" horzOverflow="overflow" lIns="74159" tIns="8999" rIns="74159" bIns="8999" anchor="ctr" upright="1"/>
                    </wps:wsp>
                  </a:graphicData>
                </a:graphic>
              </wp:inline>
            </w:drawing>
          </mc:Choice>
          <mc:Fallback>
            <w:pict>
              <v:rect id="Rectangle 673" style="v-text-anchor:middle;height:22.05pt;width:476.7pt;" o:spid="_x0000_s1110" filled="t" fillcolor="#ffffff" stroked="t" strokecolor="#000000" strokeweight="0.75pt" o:spt="1">
                <v:fill/>
                <v:stroke filltype="solid"/>
                <v:textbox style="layout-flow:horizontal;" inset="2.0599722222222216mm,0.24997222222222218mm,2.0599722222222216mm,0.24997222222222218mm">
                  <w:txbxContent>
                    <w:p>
                      <w:pPr>
                        <w:pStyle w:val="0"/>
                        <w:spacing w:before="34" w:beforeLines="10" w:beforeAutospacing="0"/>
                        <w:rPr>
                          <w:rFonts w:hint="default"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8-2</w:t>
                      </w:r>
                      <w:r>
                        <w:rPr>
                          <w:rFonts w:hint="eastAsia" w:ascii="ＭＳ ゴシック" w:hAnsi="ＭＳ ゴシック" w:eastAsia="ＭＳ ゴシック"/>
                        </w:rPr>
                        <w:t>　あなたを主に介助してくれる方の年齢層を教えてください。</w:t>
                      </w:r>
                    </w:p>
                  </w:txbxContent>
                </v:textbox>
                <v:imagedata o:title=""/>
                <o:lock v:ext="edit" position="t" rotation="t"/>
                <w10:anchorlock/>
              </v:rect>
            </w:pict>
          </mc:Fallback>
        </mc:AlternateContent>
      </w:r>
    </w:p>
    <w:p>
      <w:pPr>
        <w:pStyle w:val="0"/>
        <w:rPr>
          <w:rFonts w:hint="eastAsia"/>
        </w:rPr>
      </w:pPr>
      <w:r>
        <w:rPr>
          <w:rFonts w:hint="eastAsia"/>
        </w:rPr>
        <w:drawing>
          <wp:inline distL="203200" distR="203200">
            <wp:extent cx="6172835" cy="2790825"/>
            <wp:effectExtent l="0" t="0" r="0" b="0"/>
            <wp:docPr id="1111" name="オブジェクト 0"/>
            <a:graphic xmlns:a="http://schemas.openxmlformats.org/drawingml/2006/main">
              <a:graphicData uri="http://schemas.openxmlformats.org/drawingml/2006/picture">
                <pic:pic xmlns:pic="http://schemas.openxmlformats.org/drawingml/2006/picture">
                  <pic:nvPicPr>
                    <pic:cNvPr id="1111" name="オブジェクト 0"/>
                    <pic:cNvPicPr>
                      <a:picLocks noChangeAspect="1"/>
                    </pic:cNvPicPr>
                  </pic:nvPicPr>
                  <pic:blipFill>
                    <a:blip r:embed="rId51"/>
                    <a:stretch>
                      <a:fillRect/>
                    </a:stretch>
                  </pic:blipFill>
                  <pic:spPr>
                    <a:xfrm>
                      <a:off x="0" y="0"/>
                      <a:ext cx="6172835" cy="2790825"/>
                    </a:xfrm>
                    <a:prstGeom prst="rect">
                      <a:avLst/>
                    </a:prstGeom>
                    <a:noFill/>
                    <a:ln>
                      <a:miter/>
                    </a:ln>
                  </pic:spPr>
                </pic:pic>
              </a:graphicData>
            </a:graphic>
          </wp:inline>
        </w:drawing>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　</w:t>
      </w:r>
    </w:p>
    <w:tbl>
      <w:tblPr>
        <w:tblStyle w:val="11"/>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0" w:lastRow="0" w:firstColumn="0" w:lastColumn="0" w:noHBand="1" w:noVBand="1" w:val="0600"/>
      </w:tblPr>
      <w:tblGrid>
        <w:gridCol w:w="1680"/>
        <w:gridCol w:w="1312"/>
        <w:gridCol w:w="1312"/>
        <w:gridCol w:w="1312"/>
        <w:gridCol w:w="1312"/>
        <w:gridCol w:w="1312"/>
        <w:gridCol w:w="1315"/>
      </w:tblGrid>
      <w:tr>
        <w:trPr>
          <w:trHeight w:val="469" w:hRule="atLeast"/>
        </w:trPr>
        <w:tc>
          <w:tcPr>
            <w:tcW w:w="168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napToGrid w:val="0"/>
              <w:rPr>
                <w:rFonts w:hint="eastAsia" w:ascii="ＭＳ 明朝" w:hAnsi="ＭＳ 明朝"/>
                <w:sz w:val="24"/>
              </w:rPr>
            </w:pPr>
            <w:r>
              <w:rPr>
                <w:rFonts w:hint="default"/>
              </w:rPr>
              <mc:AlternateContent>
                <mc:Choice Requires="wps">
                  <w:drawing>
                    <wp:anchor simplePos="0" relativeHeight="69" behindDoc="0" locked="1" layoutInCell="1" hidden="0" allowOverlap="1">
                      <wp:simplePos x="0" y="0"/>
                      <wp:positionH relativeFrom="column">
                        <wp:posOffset>3543300</wp:posOffset>
                      </wp:positionH>
                      <wp:positionV relativeFrom="page">
                        <wp:posOffset>7040880</wp:posOffset>
                      </wp:positionV>
                      <wp:extent cx="817880" cy="342265"/>
                      <wp:effectExtent l="19685" t="19685" r="29845" b="20320"/>
                      <wp:wrapNone/>
                      <wp:docPr id="1112" name="楕円 61"/>
                      <a:graphic xmlns:a="http://schemas.openxmlformats.org/drawingml/2006/main">
                        <a:graphicData uri="http://schemas.microsoft.com/office/word/2010/wordprocessingShape">
                          <wps:wsp>
                            <wps:cNvPr id="1112" name="楕円 61"/>
                            <wps:cNvSpPr>
                              <a:spLocks noChangeArrowheads="1"/>
                            </wps:cNvSpPr>
                            <wps:spPr>
                              <a:xfrm>
                                <a:off x="0" y="0"/>
                                <a:ext cx="817880" cy="342265"/>
                              </a:xfrm>
                              <a:prstGeom prst="ellipse">
                                <a:avLst/>
                              </a:prstGeom>
                              <a:noFill/>
                              <a:ln w="28575">
                                <a:solidFill>
                                  <a:sysClr val="windowText" lastClr="000000"/>
                                </a:solidFill>
                              </a:ln>
                            </wps:spPr>
                            <wps:bodyPr/>
                          </wps:wsp>
                        </a:graphicData>
                      </a:graphic>
                    </wp:anchor>
                  </w:drawing>
                </mc:Choice>
                <mc:Fallback>
                  <w:pict>
                    <v:oval id="楕円 61" style="margin-top:554.4pt;mso-position-vertical-relative:page;mso-position-horizontal-relative:text;position:absolute;height:26.95pt;width:64.400000000000006pt;margin-left:279pt;z-index:69;" o:spid="_x0000_s1112" o:allowincell="t" o:allowoverlap="t" filled="f" stroked="t" strokecolor="#000000" strokeweight="2.25pt" o:spt="3">
                      <v:fill/>
                      <v:stroke filltype="solid"/>
                      <v:textbox style="layout-flow:horizontal;"/>
                      <v:imagedata o:title=""/>
                      <w10:wrap type="none" anchorx="text" anchory="page"/>
                      <w10:anchorlock/>
                    </v:oval>
                  </w:pict>
                </mc:Fallback>
              </mc:AlternateConten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napToGrid w:val="0"/>
              <w:jc w:val="center"/>
              <w:rPr>
                <w:rFonts w:hint="eastAsia" w:ascii="ＭＳ 明朝" w:hAnsi="ＭＳ 明朝"/>
                <w:sz w:val="24"/>
              </w:rPr>
            </w:pPr>
            <w:r>
              <w:rPr>
                <w:rFonts w:hint="eastAsia" w:ascii="ＭＳ 明朝" w:hAnsi="ＭＳ 明朝"/>
                <w:sz w:val="24"/>
              </w:rPr>
              <w:t>39</w:t>
            </w:r>
            <w:r>
              <w:rPr>
                <w:rFonts w:hint="eastAsia" w:ascii="ＭＳ 明朝" w:hAnsi="ＭＳ 明朝"/>
                <w:sz w:val="24"/>
              </w:rPr>
              <w:t>歳以下</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napToGrid w:val="0"/>
              <w:jc w:val="center"/>
              <w:rPr>
                <w:rFonts w:hint="eastAsia" w:ascii="ＭＳ 明朝" w:hAnsi="ＭＳ 明朝"/>
                <w:sz w:val="24"/>
              </w:rPr>
            </w:pPr>
            <w:r>
              <w:rPr>
                <w:rFonts w:hint="eastAsia" w:ascii="ＭＳ 明朝" w:hAnsi="ＭＳ 明朝"/>
                <w:sz w:val="24"/>
              </w:rPr>
              <w:t>40</w:t>
            </w:r>
            <w:r>
              <w:rPr>
                <w:rFonts w:hint="eastAsia" w:ascii="ＭＳ 明朝" w:hAnsi="ＭＳ 明朝"/>
                <w:sz w:val="24"/>
              </w:rPr>
              <w:t>歳代</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napToGrid w:val="0"/>
              <w:jc w:val="center"/>
              <w:rPr>
                <w:rFonts w:hint="eastAsia" w:ascii="ＭＳ 明朝" w:hAnsi="ＭＳ 明朝"/>
                <w:sz w:val="24"/>
              </w:rPr>
            </w:pPr>
            <w:r>
              <w:rPr>
                <w:rFonts w:hint="eastAsia" w:ascii="ＭＳ 明朝" w:hAnsi="ＭＳ 明朝"/>
                <w:sz w:val="24"/>
              </w:rPr>
              <w:t>50</w:t>
            </w:r>
            <w:r>
              <w:rPr>
                <w:rFonts w:hint="eastAsia" w:ascii="ＭＳ 明朝" w:hAnsi="ＭＳ 明朝"/>
                <w:sz w:val="24"/>
              </w:rPr>
              <w:t>歳代</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napToGrid w:val="0"/>
              <w:jc w:val="center"/>
              <w:rPr>
                <w:rFonts w:hint="eastAsia" w:ascii="ＭＳ 明朝" w:hAnsi="ＭＳ 明朝"/>
                <w:sz w:val="24"/>
              </w:rPr>
            </w:pPr>
            <w:r>
              <w:rPr>
                <w:rFonts w:hint="eastAsia" w:ascii="ＭＳ 明朝" w:hAnsi="ＭＳ 明朝"/>
                <w:sz w:val="24"/>
              </w:rPr>
              <w:t>60</w:t>
            </w:r>
            <w:r>
              <w:rPr>
                <w:rFonts w:hint="eastAsia" w:ascii="ＭＳ 明朝" w:hAnsi="ＭＳ 明朝"/>
                <w:sz w:val="24"/>
              </w:rPr>
              <w:t>歳代</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napToGrid w:val="0"/>
              <w:jc w:val="center"/>
              <w:rPr>
                <w:rFonts w:hint="eastAsia" w:ascii="ＭＳ 明朝" w:hAnsi="ＭＳ 明朝"/>
                <w:sz w:val="24"/>
              </w:rPr>
            </w:pPr>
            <w:r>
              <w:rPr>
                <w:rFonts w:hint="eastAsia" w:ascii="ＭＳ 明朝" w:hAnsi="ＭＳ 明朝"/>
                <w:sz w:val="24"/>
              </w:rPr>
              <w:t>70</w:t>
            </w:r>
            <w:r>
              <w:rPr>
                <w:rFonts w:hint="eastAsia" w:ascii="ＭＳ 明朝" w:hAnsi="ＭＳ 明朝"/>
                <w:sz w:val="24"/>
              </w:rPr>
              <w:t>歳以上</w:t>
            </w:r>
          </w:p>
        </w:tc>
        <w:tc>
          <w:tcPr>
            <w:tcW w:w="13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napToGrid w:val="0"/>
              <w:jc w:val="center"/>
              <w:rPr>
                <w:rFonts w:hint="eastAsia" w:ascii="ＭＳ 明朝" w:hAnsi="ＭＳ 明朝"/>
                <w:sz w:val="24"/>
              </w:rPr>
            </w:pPr>
            <w:r>
              <w:rPr>
                <w:rFonts w:hint="eastAsia" w:ascii="ＭＳ 明朝" w:hAnsi="ＭＳ 明朝"/>
                <w:sz w:val="24"/>
              </w:rPr>
              <w:t>無回答</w:t>
            </w:r>
          </w:p>
        </w:tc>
      </w:tr>
      <w:tr>
        <w:trPr>
          <w:trHeight w:val="520" w:hRule="atLeast"/>
        </w:trPr>
        <w:tc>
          <w:tcPr>
            <w:tcW w:w="168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sz w:val="24"/>
              </w:rPr>
            </w:pPr>
            <w:r>
              <w:rPr>
                <w:rFonts w:hint="eastAsia" w:ascii="ＭＳ 明朝" w:hAnsi="ＭＳ 明朝"/>
                <w:sz w:val="24"/>
              </w:rPr>
              <w:t>H28</w:t>
            </w:r>
            <w:r>
              <w:rPr>
                <w:rFonts w:hint="eastAsia" w:ascii="ＭＳ 明朝" w:hAnsi="ＭＳ 明朝"/>
                <w:sz w:val="24"/>
              </w:rPr>
              <w:t>前回調査</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15.7%</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19.9%</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17.9%</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21.6%</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20.1%</w:t>
            </w:r>
          </w:p>
        </w:tc>
        <w:tc>
          <w:tcPr>
            <w:tcW w:w="13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4.9%</w:t>
            </w:r>
          </w:p>
        </w:tc>
      </w:tr>
      <w:tr>
        <w:trPr>
          <w:trHeight w:val="520" w:hRule="atLeast"/>
        </w:trPr>
        <w:tc>
          <w:tcPr>
            <w:tcW w:w="168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ascii="ＭＳ 明朝" w:hAnsi="ＭＳ 明朝"/>
                <w:sz w:val="24"/>
              </w:rPr>
            </w:pPr>
            <w:r>
              <w:rPr>
                <w:rFonts w:hint="eastAsia" w:ascii="ＭＳ 明朝" w:hAnsi="ＭＳ 明朝"/>
                <w:sz w:val="24"/>
              </w:rPr>
              <w:t>R2</w:t>
            </w:r>
            <w:r>
              <w:rPr>
                <w:rFonts w:hint="eastAsia" w:ascii="ＭＳ 明朝" w:hAnsi="ＭＳ 明朝"/>
                <w:sz w:val="24"/>
              </w:rPr>
              <w:t>今回調査</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10.9%</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19.6%</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20.0%</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20.4%</w:t>
            </w:r>
          </w:p>
        </w:tc>
        <w:tc>
          <w:tcPr>
            <w:tcW w:w="131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rPr>
              <mc:AlternateContent>
                <mc:Choice Requires="wps">
                  <w:drawing>
                    <wp:anchor distL="203200" distR="203200" simplePos="0" relativeHeight="70" behindDoc="0" locked="0" layoutInCell="1" hidden="0" allowOverlap="0">
                      <wp:simplePos x="0" y="0"/>
                      <wp:positionH relativeFrom="column">
                        <wp:posOffset>34925</wp:posOffset>
                      </wp:positionH>
                      <wp:positionV relativeFrom="page">
                        <wp:posOffset>25400</wp:posOffset>
                      </wp:positionV>
                      <wp:extent cx="819150" cy="314325"/>
                      <wp:effectExtent l="635" t="635" r="29845" b="10795"/>
                      <wp:wrapNone/>
                      <wp:docPr id="1113" name="オブジェクト 0"/>
                      <a:graphic xmlns:a="http://schemas.openxmlformats.org/drawingml/2006/main">
                        <a:graphicData uri="http://schemas.microsoft.com/office/word/2010/wordprocessingShape">
                          <wps:wsp>
                            <wps:cNvPr id="1113" name="オブジェクト 0"/>
                            <wps:cNvSpPr>
                              <a:spLocks noChangeArrowheads="1"/>
                            </wps:cNvSpPr>
                            <wps:spPr>
                              <a:xfrm>
                                <a:off x="0" y="0"/>
                                <a:ext cx="819150" cy="314325"/>
                              </a:xfrm>
                              <a:prstGeom prst="ellipse">
                                <a:avLst/>
                              </a:prstGeom>
                              <a:noFill/>
                              <a:ln w="25400">
                                <a:solidFill>
                                  <a:sysClr val="windowText" lastClr="000000"/>
                                </a:solidFill>
                              </a:ln>
                            </wps:spPr>
                            <wps:bodyPr/>
                          </wps:wsp>
                        </a:graphicData>
                      </a:graphic>
                    </wp:anchor>
                  </w:drawing>
                </mc:Choice>
                <mc:Fallback>
                  <w:pict>
                    <v:oval id="オブジェクト 0" style="mso-wrap-distance-right:16pt;margin-top:2pt;mso-position-vertical-relative:page;mso-position-horizontal-relative:text;position:absolute;height:24.75pt;width:64.5pt;mso-wrap-distance-left:16pt;margin-left:2.75pt;z-index:70;" o:spid="_x0000_s1113" o:allowincell="t" o:allowoverlap="f" filled="f" stroked="t" strokecolor="#000000" strokeweight="2pt" o:spt="3">
                      <v:fill/>
                      <v:stroke filltype="solid"/>
                      <v:textbox style="layout-flow:horizontal;"/>
                      <v:imagedata o:title=""/>
                      <w10:wrap type="none" anchorx="text" anchory="page"/>
                    </v:oval>
                  </w:pict>
                </mc:Fallback>
              </mc:AlternateContent>
            </w:r>
            <w:r>
              <w:rPr>
                <w:rFonts w:hint="eastAsia" w:ascii="ＭＳ 明朝" w:hAnsi="ＭＳ 明朝"/>
                <w:sz w:val="24"/>
              </w:rPr>
              <w:t>24.3%</w:t>
            </w:r>
          </w:p>
        </w:tc>
        <w:tc>
          <w:tcPr>
            <w:tcW w:w="13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4.8%</w:t>
            </w:r>
          </w:p>
        </w:tc>
      </w:tr>
    </w:tbl>
    <w:p>
      <w:pPr>
        <w:pStyle w:val="0"/>
        <w:rPr>
          <w:rFonts w:hint="eastAsia" w:ascii="ＭＳ ゴシック" w:hAnsi="ＭＳ ゴシック" w:eastAsia="ＭＳ ゴシック"/>
          <w:sz w:val="24"/>
        </w:rPr>
      </w:pPr>
      <w:r>
        <w:rPr>
          <w:rFonts w:hint="default" w:ascii="ＭＳ 明朝" w:hAnsi="ＭＳ 明朝"/>
          <w:sz w:val="24"/>
        </w:rPr>
        <mc:AlternateContent>
          <mc:Choice Requires="wps">
            <w:drawing>
              <wp:inline>
                <wp:extent cx="6054090" cy="280035"/>
                <wp:effectExtent l="635" t="635" r="29845" b="10795"/>
                <wp:docPr id="1114" name="Rectangle 248"/>
                <a:graphic xmlns:a="http://schemas.openxmlformats.org/drawingml/2006/main">
                  <a:graphicData uri="http://schemas.microsoft.com/office/word/2010/wordprocessingShape">
                    <wps:wsp>
                      <wps:cNvPr id="1114" name="Rectangle 248"/>
                      <wps:cNvSpPr>
                        <a:spLocks noRot="1" noMove="1" noResize="1" noChangeArrowheads="1"/>
                      </wps:cNvSpPr>
                      <wps:spPr>
                        <a:xfrm>
                          <a:off x="0" y="0"/>
                          <a:ext cx="6054090" cy="280035"/>
                        </a:xfrm>
                        <a:prstGeom prst="rect">
                          <a:avLst/>
                        </a:prstGeom>
                        <a:solidFill>
                          <a:srgbClr val="FFFFFF"/>
                        </a:solidFill>
                        <a:ln w="9525">
                          <a:solidFill>
                            <a:sysClr val="windowText" lastClr="000000"/>
                          </a:solidFill>
                          <a:miter/>
                        </a:ln>
                      </wps:spPr>
                      <wps:txbx>
                        <w:txbxContent>
                          <w:p>
                            <w:pPr>
                              <w:pStyle w:val="0"/>
                              <w:spacing w:before="34" w:beforeLines="10" w:beforeAutospacing="0"/>
                              <w:rPr>
                                <w:rFonts w:hint="default"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14</w:t>
                            </w:r>
                            <w:r>
                              <w:rPr>
                                <w:rFonts w:hint="eastAsia" w:ascii="ＭＳ ゴシック" w:hAnsi="ＭＳ ゴシック" w:eastAsia="ＭＳ ゴシック"/>
                              </w:rPr>
                              <w:t>　御本人が生活していく上で今後心配になることは何ですか。</w:t>
                            </w:r>
                          </w:p>
                        </w:txbxContent>
                      </wps:txbx>
                      <wps:bodyPr vertOverflow="overflow" horzOverflow="overflow" lIns="74159" tIns="8999" rIns="74159" bIns="8999" anchor="ctr" upright="1"/>
                    </wps:wsp>
                  </a:graphicData>
                </a:graphic>
              </wp:inline>
            </w:drawing>
          </mc:Choice>
          <mc:Fallback>
            <w:pict>
              <v:rect id="Rectangle 248" style="v-text-anchor:middle;height:22.05pt;width:476.7pt;" o:spid="_x0000_s1114" filled="t" fillcolor="#ffffff" stroked="t" strokecolor="#000000" strokeweight="0.75pt" o:spt="1">
                <v:fill/>
                <v:stroke filltype="solid"/>
                <v:textbox style="layout-flow:horizontal;" inset="2.0599722222222216mm,0.24997222222222218mm,2.0599722222222216mm,0.24997222222222218mm">
                  <w:txbxContent>
                    <w:p>
                      <w:pPr>
                        <w:pStyle w:val="0"/>
                        <w:spacing w:before="34" w:beforeLines="10" w:beforeAutospacing="0"/>
                        <w:rPr>
                          <w:rFonts w:hint="default"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14</w:t>
                      </w:r>
                      <w:r>
                        <w:rPr>
                          <w:rFonts w:hint="eastAsia" w:ascii="ＭＳ ゴシック" w:hAnsi="ＭＳ ゴシック" w:eastAsia="ＭＳ ゴシック"/>
                        </w:rPr>
                        <w:t>　御本人が生活していく上で今後心配になることは何ですか。</w:t>
                      </w:r>
                    </w:p>
                  </w:txbxContent>
                </v:textbox>
                <v:imagedata o:title=""/>
                <o:lock v:ext="edit" position="t" rotation="t"/>
                <w10:anchorlock/>
              </v:rect>
            </w:pict>
          </mc:Fallback>
        </mc:AlternateContent>
      </w:r>
    </w:p>
    <w:p>
      <w:pPr>
        <w:pStyle w:val="0"/>
        <w:rPr>
          <w:rFonts w:hint="eastAsia" w:ascii="ＭＳ ゴシック" w:hAnsi="ＭＳ ゴシック" w:eastAsia="ＭＳ ゴシック"/>
          <w:sz w:val="24"/>
        </w:rPr>
      </w:pPr>
      <w:r>
        <w:rPr>
          <w:rFonts w:hint="eastAsia"/>
        </w:rPr>
        <w:drawing>
          <wp:inline distL="203200" distR="203200">
            <wp:extent cx="3515360" cy="2654935"/>
            <wp:effectExtent l="0" t="0" r="0" b="0"/>
            <wp:docPr id="1115" name="オブジェクト 0"/>
            <a:graphic xmlns:a="http://schemas.openxmlformats.org/drawingml/2006/main">
              <a:graphicData uri="http://schemas.openxmlformats.org/drawingml/2006/picture">
                <pic:pic xmlns:pic="http://schemas.openxmlformats.org/drawingml/2006/picture">
                  <pic:nvPicPr>
                    <pic:cNvPr id="1115" name="オブジェクト 0"/>
                    <pic:cNvPicPr>
                      <a:picLocks noChangeAspect="1"/>
                    </pic:cNvPicPr>
                  </pic:nvPicPr>
                  <pic:blipFill>
                    <a:blip r:embed="rId52"/>
                    <a:stretch>
                      <a:fillRect/>
                    </a:stretch>
                  </pic:blipFill>
                  <pic:spPr>
                    <a:xfrm>
                      <a:off x="0" y="0"/>
                      <a:ext cx="3515360" cy="2654935"/>
                    </a:xfrm>
                    <a:prstGeom prst="rect">
                      <a:avLst/>
                    </a:prstGeom>
                    <a:noFill/>
                    <a:ln>
                      <a:miter/>
                    </a:ln>
                  </pic:spPr>
                </pic:pic>
              </a:graphicData>
            </a:graphic>
          </wp:inline>
        </w:drawing>
      </w:r>
    </w:p>
    <w:p>
      <w:pPr>
        <w:pStyle w:val="0"/>
        <w:rPr>
          <w:rFonts w:hint="eastAsia"/>
          <w:sz w:val="22"/>
        </w:rPr>
      </w:pPr>
      <w:r>
        <w:rPr>
          <w:rFonts w:hint="eastAsia" w:ascii="ＭＳ ゴシック" w:hAnsi="ＭＳ ゴシック" w:eastAsia="ＭＳ ゴシック"/>
          <w:sz w:val="24"/>
        </w:rPr>
        <w:t>70</w:t>
      </w:r>
      <w:r>
        <w:rPr>
          <w:rFonts w:hint="eastAsia" w:ascii="ＭＳ ゴシック" w:hAnsi="ＭＳ ゴシック" w:eastAsia="ＭＳ ゴシック"/>
          <w:sz w:val="24"/>
        </w:rPr>
        <w:t>歳以上の介助者の割合は</w:t>
      </w:r>
      <w:r>
        <w:rPr>
          <w:rFonts w:hint="eastAsia" w:ascii="ＭＳ ゴシック" w:hAnsi="ＭＳ ゴシック" w:eastAsia="ＭＳ ゴシック"/>
          <w:sz w:val="24"/>
        </w:rPr>
        <w:t>24.3</w:t>
      </w:r>
      <w:r>
        <w:rPr>
          <w:rFonts w:hint="eastAsia" w:ascii="ＭＳ ゴシック" w:hAnsi="ＭＳ ゴシック" w:eastAsia="ＭＳ ゴシック"/>
          <w:sz w:val="24"/>
        </w:rPr>
        <w:t>％と前回調査より</w:t>
      </w:r>
      <w:r>
        <w:rPr>
          <w:rFonts w:hint="eastAsia" w:ascii="ＭＳ ゴシック" w:hAnsi="ＭＳ ゴシック" w:eastAsia="ＭＳ ゴシック"/>
          <w:sz w:val="24"/>
        </w:rPr>
        <w:t>3.2</w:t>
      </w:r>
      <w:r>
        <w:rPr>
          <w:rFonts w:hint="eastAsia" w:ascii="ＭＳ ゴシック" w:hAnsi="ＭＳ ゴシック" w:eastAsia="ＭＳ ゴシック"/>
          <w:sz w:val="24"/>
        </w:rPr>
        <w:t>ポイント増加し、介助者の高齢化が進んでいます。また、新たに回答項目とした、「保護者の方がいなくなった後の生活のこと」が</w:t>
      </w:r>
      <w:r>
        <w:rPr>
          <w:rFonts w:hint="eastAsia" w:ascii="ＭＳ ゴシック" w:hAnsi="ＭＳ ゴシック" w:eastAsia="ＭＳ ゴシック"/>
          <w:sz w:val="24"/>
        </w:rPr>
        <w:t>58.2%</w:t>
      </w:r>
      <w:r>
        <w:rPr>
          <w:rFonts w:hint="eastAsia" w:ascii="ＭＳ ゴシック" w:hAnsi="ＭＳ ゴシック" w:eastAsia="ＭＳ ゴシック"/>
          <w:sz w:val="24"/>
        </w:rPr>
        <w:t>と最も回答数が多く、県内においても</w:t>
      </w:r>
      <w:r>
        <w:rPr>
          <w:rFonts w:hint="eastAsia" w:ascii="ＭＳ ゴシック" w:hAnsi="ＭＳ ゴシック" w:eastAsia="ＭＳ ゴシック"/>
          <w:sz w:val="24"/>
        </w:rPr>
        <w:t>8050</w:t>
      </w:r>
      <w:r>
        <w:rPr>
          <w:rFonts w:hint="eastAsia" w:ascii="ＭＳ ゴシック" w:hAnsi="ＭＳ ゴシック" w:eastAsia="ＭＳ ゴシック"/>
          <w:sz w:val="24"/>
        </w:rPr>
        <w:t>問題</w:t>
      </w:r>
      <w:r>
        <w:rPr>
          <w:rFonts w:hint="eastAsia"/>
          <w:spacing w:val="-4"/>
          <w:kern w:val="0"/>
          <w:vertAlign w:val="superscript"/>
        </w:rPr>
        <w:t>＊</w:t>
      </w:r>
      <w:r>
        <w:rPr>
          <w:rFonts w:hint="eastAsia" w:ascii="ＭＳ ゴシック" w:hAnsi="ＭＳ ゴシック" w:eastAsia="ＭＳ ゴシック"/>
          <w:sz w:val="24"/>
        </w:rPr>
        <w:t>で心配されている方が多くなっています。</w:t>
      </w:r>
    </w:p>
    <w:tbl>
      <w:tblPr>
        <w:tblStyle w:val="11"/>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0" w:lastRow="0" w:firstColumn="0" w:lastColumn="0" w:noHBand="1" w:noVBand="1" w:val="0600"/>
      </w:tblPr>
      <w:tblGrid>
        <w:gridCol w:w="6825"/>
        <w:gridCol w:w="1224"/>
        <w:gridCol w:w="559"/>
        <w:gridCol w:w="1263"/>
      </w:tblGrid>
      <w:tr>
        <w:trPr>
          <w:trHeight w:val="731" w:hRule="atLeast"/>
        </w:trPr>
        <w:tc>
          <w:tcPr>
            <w:tcW w:w="6825" w:type="dxa"/>
            <w:tcBorders>
              <w:top w:val="double" w:color="auto" w:sz="4" w:space="0"/>
              <w:left w:val="double" w:color="auto" w:sz="4" w:space="0"/>
              <w:bottom w:val="double" w:color="auto" w:sz="4" w:space="0"/>
              <w:right w:val="double" w:color="auto" w:sz="4" w:space="0"/>
              <w:tl2br w:val="nil"/>
              <w:tr2bl w:val="nil"/>
            </w:tcBorders>
            <w:shd w:val="clear" w:color="auto" w:fill="auto"/>
            <w:vAlign w:val="center"/>
          </w:tcPr>
          <w:p>
            <w:pPr>
              <w:pStyle w:val="0"/>
              <w:snapToGrid w:val="0"/>
              <w:rPr>
                <w:rFonts w:hint="eastAsia" w:ascii="ＭＳ ゴシック" w:hAnsi="ＭＳ ゴシック" w:eastAsia="ＭＳ ゴシック"/>
                <w:sz w:val="24"/>
              </w:rPr>
            </w:pPr>
            <w:r>
              <w:rPr>
                <w:rFonts w:hint="eastAsia" w:ascii="ＭＳ ゴシック" w:hAnsi="ＭＳ ゴシック" w:eastAsia="ＭＳ ゴシック"/>
                <w:sz w:val="24"/>
              </w:rPr>
              <w:t>生活に満足している障害のある方の割合</w:t>
            </w:r>
          </w:p>
        </w:tc>
        <w:tc>
          <w:tcPr>
            <w:tcW w:w="1224" w:type="dxa"/>
            <w:tcBorders>
              <w:top w:val="nil"/>
              <w:left w:val="double" w:color="auto" w:sz="4" w:space="0"/>
              <w:bottom w:val="nil"/>
              <w:right w:val="nil"/>
              <w:tl2br w:val="nil"/>
              <w:tr2bl w:val="nil"/>
            </w:tcBorders>
            <w:shd w:val="clear" w:color="auto" w:fill="auto"/>
            <w:vAlign w:val="center"/>
          </w:tcPr>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H28</w:t>
            </w:r>
            <w:r>
              <w:rPr>
                <w:rFonts w:hint="eastAsia" w:ascii="ＭＳ ゴシック" w:hAnsi="ＭＳ ゴシック" w:eastAsia="ＭＳ ゴシック"/>
                <w:sz w:val="24"/>
              </w:rPr>
              <w:t>調査</w:t>
            </w:r>
          </w:p>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69.9%</w:t>
            </w:r>
          </w:p>
        </w:tc>
        <w:tc>
          <w:tcPr>
            <w:tcW w:w="559" w:type="dxa"/>
            <w:tcBorders>
              <w:top w:val="nil"/>
              <w:left w:val="nil"/>
              <w:bottom w:val="nil"/>
              <w:right w:val="nil"/>
              <w:tl2br w:val="nil"/>
              <w:tr2bl w:val="nil"/>
            </w:tcBorders>
            <w:shd w:val="clear" w:color="auto" w:fill="auto"/>
            <w:vAlign w:val="top"/>
          </w:tcPr>
          <w:p>
            <w:pPr>
              <w:pStyle w:val="0"/>
              <w:snapToGrid w:val="0"/>
              <w:jc w:val="center"/>
              <w:rPr>
                <w:rFonts w:hint="eastAsia" w:ascii="ＭＳ ゴシック" w:hAnsi="ＭＳ ゴシック" w:eastAsia="ＭＳ ゴシック"/>
                <w:sz w:val="24"/>
              </w:rPr>
            </w:pPr>
          </w:p>
          <w:p>
            <w:pPr>
              <w:pStyle w:val="0"/>
              <w:snapToGrid w:val="0"/>
              <w:rPr>
                <w:rFonts w:hint="eastAsia" w:ascii="ＭＳ ゴシック" w:hAnsi="ＭＳ ゴシック" w:eastAsia="ＭＳ ゴシック"/>
                <w:sz w:val="24"/>
              </w:rPr>
            </w:pPr>
            <w:r>
              <w:rPr>
                <w:rFonts w:hint="default" w:ascii="ＭＳ ゴシック" w:hAnsi="ＭＳ ゴシック" w:eastAsia="ＭＳ ゴシック"/>
                <w:sz w:val="24"/>
              </w:rPr>
              <mc:AlternateContent>
                <mc:Choice Requires="wps">
                  <w:drawing>
                    <wp:inline>
                      <wp:extent cx="200025" cy="228600"/>
                      <wp:effectExtent l="635" t="1270" r="29845" b="11430"/>
                      <wp:docPr id="1116" name="AutoShape 669"/>
                      <a:graphic xmlns:a="http://schemas.openxmlformats.org/drawingml/2006/main">
                        <a:graphicData uri="http://schemas.microsoft.com/office/word/2010/wordprocessingShape">
                          <wps:wsp>
                            <wps:cNvPr id="1116" name="AutoShape 669"/>
                            <wps:cNvSpPr>
                              <a:spLocks noRot="1" noMove="1" noResize="1" noChangeArrowheads="1"/>
                            </wps:cNvSpPr>
                            <wps:spPr>
                              <a:xfrm>
                                <a:off x="0" y="0"/>
                                <a:ext cx="200025" cy="228600"/>
                              </a:xfrm>
                              <a:prstGeom prst="rightArrow">
                                <a:avLst>
                                  <a:gd name="adj1" fmla="val 50000"/>
                                  <a:gd name="adj2" fmla="val 48889"/>
                                </a:avLst>
                              </a:prstGeom>
                              <a:solidFill>
                                <a:srgbClr val="C0C0C0"/>
                              </a:solidFill>
                              <a:ln w="9525">
                                <a:solidFill>
                                  <a:sysClr val="windowText" lastClr="000000"/>
                                </a:solidFill>
                                <a:miter/>
                              </a:ln>
                            </wps:spPr>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69" style="height:18pt;width:15.75pt;" o:spid="_x0000_s1116" filled="t" fillcolor="#c0c0c0" stroked="t" strokecolor="#000000" strokeweight="0.75pt" o:spt="13" type="#_x0000_t13" adj="11040,5400">
                      <v:fill/>
                      <v:stroke filltype="solid"/>
                      <v:textbox style="layout-flow:horizontal;"/>
                      <v:imagedata o:title=""/>
                      <o:lock v:ext="edit" position="t" rotation="t"/>
                      <w10:anchorlock/>
                    </v:shape>
                  </w:pict>
                </mc:Fallback>
              </mc:AlternateContent>
            </w:r>
          </w:p>
        </w:tc>
        <w:tc>
          <w:tcPr>
            <w:tcW w:w="1263" w:type="dxa"/>
            <w:tcBorders>
              <w:top w:val="nil"/>
              <w:left w:val="nil"/>
              <w:bottom w:val="nil"/>
              <w:right w:val="nil"/>
              <w:tl2br w:val="nil"/>
              <w:tr2bl w:val="nil"/>
            </w:tcBorders>
            <w:shd w:val="clear" w:color="auto" w:fill="auto"/>
            <w:vAlign w:val="center"/>
          </w:tcPr>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R2</w:t>
            </w:r>
            <w:r>
              <w:rPr>
                <w:rFonts w:hint="eastAsia" w:ascii="ＭＳ ゴシック" w:hAnsi="ＭＳ ゴシック" w:eastAsia="ＭＳ ゴシック"/>
                <w:sz w:val="24"/>
              </w:rPr>
              <w:t>調査</w:t>
            </w:r>
          </w:p>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67.8%</w:t>
            </w:r>
          </w:p>
        </w:tc>
      </w:tr>
    </w:tbl>
    <w:p>
      <w:pPr>
        <w:pStyle w:val="0"/>
        <w:rPr>
          <w:rFonts w:hint="eastAsia" w:ascii="ＭＳ 明朝" w:hAnsi="ＭＳ 明朝"/>
          <w:sz w:val="24"/>
        </w:rPr>
      </w:pPr>
      <w:r>
        <w:rPr>
          <w:rFonts w:hint="default" w:ascii="ＭＳ 明朝" w:hAnsi="ＭＳ 明朝"/>
          <w:sz w:val="24"/>
        </w:rPr>
        <mc:AlternateContent>
          <mc:Choice Requires="wps">
            <w:drawing>
              <wp:inline>
                <wp:extent cx="6054090" cy="280035"/>
                <wp:effectExtent l="635" t="635" r="29845" b="10795"/>
                <wp:docPr id="1117" name="Rectangle 248"/>
                <a:graphic xmlns:a="http://schemas.openxmlformats.org/drawingml/2006/main">
                  <a:graphicData uri="http://schemas.microsoft.com/office/word/2010/wordprocessingShape">
                    <wps:wsp>
                      <wps:cNvPr id="1117" name="Rectangle 248"/>
                      <wps:cNvSpPr>
                        <a:spLocks noRot="1" noMove="1" noResize="1" noChangeArrowheads="1"/>
                      </wps:cNvSpPr>
                      <wps:spPr>
                        <a:xfrm>
                          <a:off x="0" y="0"/>
                          <a:ext cx="6054090" cy="280035"/>
                        </a:xfrm>
                        <a:prstGeom prst="rect">
                          <a:avLst/>
                        </a:prstGeom>
                        <a:solidFill>
                          <a:srgbClr val="FFFFFF"/>
                        </a:solidFill>
                        <a:ln w="9525">
                          <a:solidFill>
                            <a:sysClr val="windowText" lastClr="000000"/>
                          </a:solidFill>
                          <a:miter/>
                        </a:ln>
                      </wps:spPr>
                      <wps:txbx>
                        <w:txbxContent>
                          <w:p>
                            <w:pPr>
                              <w:pStyle w:val="0"/>
                              <w:spacing w:before="34" w:beforeLines="10" w:beforeAutospacing="0"/>
                              <w:rPr>
                                <w:rFonts w:hint="default"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37</w:t>
                            </w:r>
                            <w:r>
                              <w:rPr>
                                <w:rFonts w:hint="eastAsia" w:ascii="ＭＳ ゴシック" w:hAnsi="ＭＳ ゴシック" w:eastAsia="ＭＳ ゴシック"/>
                              </w:rPr>
                              <w:t>　あなたは、現在の生活に満足していますか。</w:t>
                            </w:r>
                          </w:p>
                        </w:txbxContent>
                      </wps:txbx>
                      <wps:bodyPr vertOverflow="overflow" horzOverflow="overflow" lIns="74159" tIns="8999" rIns="74159" bIns="8999" anchor="ctr" upright="1"/>
                    </wps:wsp>
                  </a:graphicData>
                </a:graphic>
              </wp:inline>
            </w:drawing>
          </mc:Choice>
          <mc:Fallback>
            <w:pict>
              <v:rect id="Rectangle 248" style="v-text-anchor:middle;height:22.05pt;width:476.7pt;" o:spid="_x0000_s1117" filled="t" fillcolor="#ffffff" stroked="t" strokecolor="#000000" strokeweight="0.75pt" o:spt="1">
                <v:fill/>
                <v:stroke filltype="solid"/>
                <v:textbox style="layout-flow:horizontal;" inset="2.0599722222222216mm,0.24997222222222218mm,2.0599722222222216mm,0.24997222222222218mm">
                  <w:txbxContent>
                    <w:p>
                      <w:pPr>
                        <w:pStyle w:val="0"/>
                        <w:spacing w:before="34" w:beforeLines="10" w:beforeAutospacing="0"/>
                        <w:rPr>
                          <w:rFonts w:hint="default"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37</w:t>
                      </w:r>
                      <w:r>
                        <w:rPr>
                          <w:rFonts w:hint="eastAsia" w:ascii="ＭＳ ゴシック" w:hAnsi="ＭＳ ゴシック" w:eastAsia="ＭＳ ゴシック"/>
                        </w:rPr>
                        <w:t>　あなたは、現在の生活に満足していますか。</w:t>
                      </w:r>
                    </w:p>
                  </w:txbxContent>
                </v:textbox>
                <v:imagedata o:title=""/>
                <o:lock v:ext="edit" position="t" rotation="t"/>
                <w10:anchorlock/>
              </v:rect>
            </w:pict>
          </mc:Fallback>
        </mc:AlternateContent>
      </w:r>
    </w:p>
    <w:p>
      <w:pPr>
        <w:pStyle w:val="0"/>
        <w:rPr>
          <w:rFonts w:hint="eastAsia" w:ascii="ＭＳ ゴシック" w:hAnsi="ＭＳ ゴシック" w:eastAsia="ＭＳ ゴシック"/>
          <w:sz w:val="24"/>
        </w:rPr>
      </w:pPr>
      <w:r>
        <w:rPr>
          <w:rFonts w:hint="default"/>
        </w:rPr>
        <w:drawing>
          <wp:anchor simplePos="0" relativeHeight="80" behindDoc="0" locked="0" layoutInCell="1" hidden="0" allowOverlap="1">
            <wp:simplePos x="0" y="0"/>
            <wp:positionH relativeFrom="column">
              <wp:posOffset>0</wp:posOffset>
            </wp:positionH>
            <wp:positionV relativeFrom="paragraph">
              <wp:posOffset>228600</wp:posOffset>
            </wp:positionV>
            <wp:extent cx="6200775" cy="2729865"/>
            <wp:effectExtent l="0" t="0" r="0" b="0"/>
            <wp:wrapNone/>
            <wp:docPr id="1118" name="オブジェクト 0"/>
            <a:graphic xmlns:a="http://schemas.openxmlformats.org/drawingml/2006/main">
              <a:graphicData uri="http://schemas.openxmlformats.org/drawingml/2006/picture">
                <pic:pic xmlns:pic="http://schemas.openxmlformats.org/drawingml/2006/picture">
                  <pic:nvPicPr>
                    <pic:cNvPr id="1118" name="オブジェクト 0"/>
                    <pic:cNvPicPr>
                      <a:picLocks noChangeAspect="1"/>
                    </pic:cNvPicPr>
                  </pic:nvPicPr>
                  <pic:blipFill>
                    <a:blip r:embed="rId53"/>
                    <a:stretch>
                      <a:fillRect/>
                    </a:stretch>
                  </pic:blipFill>
                  <pic:spPr>
                    <a:xfrm>
                      <a:off x="0" y="0"/>
                      <a:ext cx="6200775" cy="2729865"/>
                    </a:xfrm>
                    <a:prstGeom prst="rect">
                      <a:avLst/>
                    </a:prstGeom>
                    <a:noFill/>
                    <a:ln>
                      <a:miter/>
                    </a:ln>
                  </pic:spPr>
                </pic:pic>
              </a:graphicData>
            </a:graphic>
          </wp:anchor>
        </w:drawing>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　【今回調査結果】　　　　　</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【過去の調査との比較】</w: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mc:AlternateContent>
          <mc:Choice Requires="wps">
            <w:drawing>
              <wp:inline>
                <wp:extent cx="6054090" cy="280035"/>
                <wp:effectExtent l="635" t="635" r="29845" b="10795"/>
                <wp:docPr id="1119" name="Rectangle 248"/>
                <a:graphic xmlns:a="http://schemas.openxmlformats.org/drawingml/2006/main">
                  <a:graphicData uri="http://schemas.microsoft.com/office/word/2010/wordprocessingShape">
                    <wps:wsp>
                      <wps:cNvPr id="1119" name="Rectangle 248"/>
                      <wps:cNvSpPr>
                        <a:spLocks noRot="1" noMove="1" noResize="1" noChangeArrowheads="1"/>
                      </wps:cNvSpPr>
                      <wps:spPr>
                        <a:xfrm>
                          <a:off x="0" y="0"/>
                          <a:ext cx="6054090" cy="280035"/>
                        </a:xfrm>
                        <a:prstGeom prst="rect">
                          <a:avLst/>
                        </a:prstGeom>
                        <a:solidFill>
                          <a:srgbClr val="FFFFFF"/>
                        </a:solidFill>
                        <a:ln w="9525">
                          <a:solidFill>
                            <a:sysClr val="windowText" lastClr="000000"/>
                          </a:solidFill>
                          <a:miter/>
                        </a:ln>
                      </wps:spPr>
                      <wps:txbx>
                        <w:txbxContent>
                          <w:p>
                            <w:pPr>
                              <w:pStyle w:val="0"/>
                              <w:spacing w:before="34" w:beforeLines="10" w:beforeAutospacing="0"/>
                              <w:rPr>
                                <w:rFonts w:hint="default"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37-2</w:t>
                            </w:r>
                            <w:r>
                              <w:rPr>
                                <w:rFonts w:hint="eastAsia" w:ascii="ＭＳ ゴシック" w:hAnsi="ＭＳ ゴシック" w:eastAsia="ＭＳ ゴシック"/>
                              </w:rPr>
                              <w:t>　あなたは、現在の生活に不満がある理由を具体的に教えてください。</w:t>
                            </w:r>
                          </w:p>
                        </w:txbxContent>
                      </wps:txbx>
                      <wps:bodyPr vertOverflow="overflow" horzOverflow="overflow" lIns="74159" tIns="8999" rIns="74159" bIns="8999" anchor="ctr" upright="1"/>
                    </wps:wsp>
                  </a:graphicData>
                </a:graphic>
              </wp:inline>
            </w:drawing>
          </mc:Choice>
          <mc:Fallback>
            <w:pict>
              <v:rect id="Rectangle 248" style="v-text-anchor:middle;height:22.05pt;width:476.7pt;" o:spid="_x0000_s1119" filled="t" fillcolor="#ffffff" stroked="t" strokecolor="#000000" strokeweight="0.75pt" o:spt="1">
                <v:fill/>
                <v:stroke filltype="solid"/>
                <v:textbox style="layout-flow:horizontal;" inset="2.0599722222222216mm,0.24997222222222218mm,2.0599722222222216mm,0.24997222222222218mm">
                  <w:txbxContent>
                    <w:p>
                      <w:pPr>
                        <w:pStyle w:val="0"/>
                        <w:spacing w:before="34" w:beforeLines="10" w:beforeAutospacing="0"/>
                        <w:rPr>
                          <w:rFonts w:hint="default"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37-2</w:t>
                      </w:r>
                      <w:r>
                        <w:rPr>
                          <w:rFonts w:hint="eastAsia" w:ascii="ＭＳ ゴシック" w:hAnsi="ＭＳ ゴシック" w:eastAsia="ＭＳ ゴシック"/>
                        </w:rPr>
                        <w:t>　あなたは、現在の生活に不満がある理由を具体的に教えてください。</w:t>
                      </w:r>
                    </w:p>
                  </w:txbxContent>
                </v:textbox>
                <v:imagedata o:title=""/>
                <o:lock v:ext="edit" position="t" rotation="t"/>
                <w10:anchorlock/>
              </v:rect>
            </w:pict>
          </mc:Fallback>
        </mc:AlternateContent>
      </w:r>
    </w:p>
    <w:tbl>
      <w:tblPr>
        <w:tblStyle w:val="11"/>
        <w:tblW w:w="9555"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5880"/>
        <w:gridCol w:w="1225"/>
        <w:gridCol w:w="1225"/>
        <w:gridCol w:w="1225"/>
      </w:tblGrid>
      <w:tr>
        <w:trPr>
          <w:trHeight w:val="450" w:hRule="atLeast"/>
        </w:trPr>
        <w:tc>
          <w:tcPr>
            <w:tcW w:w="588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項　目</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H28</w:t>
            </w:r>
            <w:r>
              <w:rPr>
                <w:rFonts w:hint="eastAsia" w:ascii="ＭＳ ゴシック" w:hAnsi="ＭＳ ゴシック" w:eastAsia="ＭＳ ゴシック"/>
                <w:sz w:val="24"/>
              </w:rPr>
              <w:t>調査</w:t>
            </w:r>
          </w:p>
          <w:p>
            <w:pPr>
              <w:pStyle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A</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R2</w:t>
            </w:r>
            <w:r>
              <w:rPr>
                <w:rFonts w:hint="eastAsia" w:ascii="ＭＳ ゴシック" w:hAnsi="ＭＳ ゴシック" w:eastAsia="ＭＳ ゴシック"/>
                <w:sz w:val="24"/>
              </w:rPr>
              <w:t>調査</w:t>
            </w:r>
          </w:p>
          <w:p>
            <w:pPr>
              <w:pStyle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B</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増減</w:t>
            </w:r>
          </w:p>
          <w:p>
            <w:pPr>
              <w:pStyle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B-A</w:t>
            </w:r>
          </w:p>
        </w:tc>
      </w:tr>
      <w:tr>
        <w:trPr>
          <w:trHeight w:val="540" w:hRule="atLeast"/>
        </w:trPr>
        <w:tc>
          <w:tcPr>
            <w:tcW w:w="588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家計・収入・金銭に関すること</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20.2</w:t>
            </w:r>
            <w:r>
              <w:rPr>
                <w:rFonts w:hint="eastAsia" w:ascii="ＭＳ ゴシック" w:hAnsi="ＭＳ ゴシック" w:eastAsia="ＭＳ ゴシック"/>
                <w:sz w:val="24"/>
              </w:rPr>
              <w:t>％</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14.7</w:t>
            </w:r>
            <w:r>
              <w:rPr>
                <w:rFonts w:hint="eastAsia" w:ascii="ＭＳ ゴシック" w:hAnsi="ＭＳ ゴシック" w:eastAsia="ＭＳ ゴシック"/>
                <w:sz w:val="24"/>
              </w:rPr>
              <w:t>％</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sz w:val="24"/>
              </w:rPr>
              <w:t>5.5</w:t>
            </w:r>
            <w:r>
              <w:rPr>
                <w:rFonts w:hint="eastAsia" w:ascii="ＭＳ ゴシック" w:hAnsi="ＭＳ ゴシック" w:eastAsia="ＭＳ ゴシック"/>
                <w:sz w:val="24"/>
              </w:rPr>
              <w:t>％</w:t>
            </w:r>
          </w:p>
        </w:tc>
      </w:tr>
      <w:tr>
        <w:trPr>
          <w:trHeight w:val="540" w:hRule="atLeast"/>
        </w:trPr>
        <w:tc>
          <w:tcPr>
            <w:tcW w:w="588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就労に関すること</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9.6</w:t>
            </w:r>
            <w:r>
              <w:rPr>
                <w:rFonts w:hint="eastAsia" w:ascii="ＭＳ ゴシック" w:hAnsi="ＭＳ ゴシック" w:eastAsia="ＭＳ ゴシック"/>
                <w:sz w:val="24"/>
              </w:rPr>
              <w:t>％</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8.3</w:t>
            </w:r>
            <w:r>
              <w:rPr>
                <w:rFonts w:hint="eastAsia" w:ascii="ＭＳ ゴシック" w:hAnsi="ＭＳ ゴシック" w:eastAsia="ＭＳ ゴシック"/>
                <w:sz w:val="24"/>
              </w:rPr>
              <w:t>％</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sz w:val="24"/>
              </w:rPr>
              <w:t>1.3</w:t>
            </w:r>
            <w:r>
              <w:rPr>
                <w:rFonts w:hint="eastAsia" w:ascii="ＭＳ ゴシック" w:hAnsi="ＭＳ ゴシック" w:eastAsia="ＭＳ ゴシック"/>
                <w:sz w:val="24"/>
              </w:rPr>
              <w:t>％</w:t>
            </w:r>
          </w:p>
        </w:tc>
      </w:tr>
      <w:tr>
        <w:trPr>
          <w:trHeight w:val="540" w:hRule="atLeast"/>
        </w:trPr>
        <w:tc>
          <w:tcPr>
            <w:tcW w:w="588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家族や人間関係に関すること</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8.8</w:t>
            </w:r>
            <w:r>
              <w:rPr>
                <w:rFonts w:hint="eastAsia" w:ascii="ＭＳ ゴシック" w:hAnsi="ＭＳ ゴシック" w:eastAsia="ＭＳ ゴシック"/>
                <w:sz w:val="24"/>
              </w:rPr>
              <w:t>％</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10.6</w:t>
            </w:r>
            <w:r>
              <w:rPr>
                <w:rFonts w:hint="eastAsia" w:ascii="ＭＳ ゴシック" w:hAnsi="ＭＳ ゴシック" w:eastAsia="ＭＳ ゴシック"/>
                <w:sz w:val="24"/>
              </w:rPr>
              <w:t>％</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1.8</w:t>
            </w:r>
            <w:r>
              <w:rPr>
                <w:rFonts w:hint="eastAsia" w:ascii="ＭＳ ゴシック" w:hAnsi="ＭＳ ゴシック" w:eastAsia="ＭＳ ゴシック"/>
                <w:sz w:val="24"/>
              </w:rPr>
              <w:t>％</w:t>
            </w:r>
          </w:p>
        </w:tc>
      </w:tr>
      <w:tr>
        <w:trPr>
          <w:trHeight w:val="540" w:hRule="atLeast"/>
        </w:trPr>
        <w:tc>
          <w:tcPr>
            <w:tcW w:w="588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福祉制度・サービスに関すること</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6.4</w:t>
            </w:r>
            <w:r>
              <w:rPr>
                <w:rFonts w:hint="eastAsia" w:ascii="ＭＳ ゴシック" w:hAnsi="ＭＳ ゴシック" w:eastAsia="ＭＳ ゴシック"/>
                <w:sz w:val="24"/>
              </w:rPr>
              <w:t>％</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pacing w:val="20"/>
                <w:kern w:val="0"/>
                <w:sz w:val="24"/>
              </w:rPr>
              <mc:AlternateContent>
                <mc:Choice Requires="wps">
                  <w:drawing>
                    <wp:anchor simplePos="0" relativeHeight="81" behindDoc="0" locked="0" layoutInCell="1" hidden="0" allowOverlap="1">
                      <wp:simplePos x="0" y="0"/>
                      <wp:positionH relativeFrom="column">
                        <wp:posOffset>64135</wp:posOffset>
                      </wp:positionH>
                      <wp:positionV relativeFrom="paragraph">
                        <wp:posOffset>335915</wp:posOffset>
                      </wp:positionV>
                      <wp:extent cx="659130" cy="347345"/>
                      <wp:effectExtent l="635" t="635" r="29845" b="10795"/>
                      <wp:wrapNone/>
                      <wp:docPr id="1120" name="オブジェクト 0"/>
                      <a:graphic xmlns:a="http://schemas.openxmlformats.org/drawingml/2006/main">
                        <a:graphicData uri="http://schemas.microsoft.com/office/word/2010/wordprocessingShape">
                          <wps:wsp>
                            <wps:cNvPr id="1120" name="オブジェクト 0"/>
                            <wps:cNvSpPr>
                              <a:spLocks noChangeArrowheads="1"/>
                            </wps:cNvSpPr>
                            <wps:spPr>
                              <a:xfrm>
                                <a:off x="0" y="0"/>
                                <a:ext cx="659130" cy="347345"/>
                              </a:xfrm>
                              <a:prstGeom prst="ellipse">
                                <a:avLst/>
                              </a:prstGeom>
                              <a:noFill/>
                              <a:ln w="15875">
                                <a:solidFill>
                                  <a:sysClr val="windowText" lastClr="000000"/>
                                </a:solidFill>
                              </a:ln>
                            </wps:spPr>
                            <wps:bodyPr/>
                          </wps:wsp>
                        </a:graphicData>
                      </a:graphic>
                    </wp:anchor>
                  </w:drawing>
                </mc:Choice>
                <mc:Fallback>
                  <w:pict>
                    <v:oval id="オブジェクト 0" style="margin-top:26.45pt;mso-position-vertical-relative:text;mso-position-horizontal-relative:text;position:absolute;height:27.35pt;width:51.9pt;margin-left:5.05pt;z-index:81;" o:spid="_x0000_s1120" o:allowincell="t" o:allowoverlap="t" filled="f" stroked="t" strokecolor="#000000" strokeweight="1.25pt" o:spt="3">
                      <v:fill/>
                      <v:stroke filltype="solid"/>
                      <v:textbox style="layout-flow:horizontal;"/>
                      <v:imagedata o:title=""/>
                      <w10:wrap type="none" anchorx="text" anchory="text"/>
                    </v:oval>
                  </w:pict>
                </mc:Fallback>
              </mc:AlternateContent>
            </w:r>
            <w:r>
              <w:rPr>
                <w:rFonts w:hint="eastAsia" w:ascii="ＭＳ ゴシック" w:hAnsi="ＭＳ ゴシック" w:eastAsia="ＭＳ ゴシック"/>
                <w:sz w:val="24"/>
              </w:rPr>
              <w:t>4.3</w:t>
            </w:r>
            <w:r>
              <w:rPr>
                <w:rFonts w:hint="eastAsia" w:ascii="ＭＳ ゴシック" w:hAnsi="ＭＳ ゴシック" w:eastAsia="ＭＳ ゴシック"/>
                <w:sz w:val="24"/>
              </w:rPr>
              <w:t>％</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sz w:val="24"/>
              </w:rPr>
              <w:t>5.1</w:t>
            </w:r>
            <w:r>
              <w:rPr>
                <w:rFonts w:hint="eastAsia" w:ascii="ＭＳ ゴシック" w:hAnsi="ＭＳ ゴシック" w:eastAsia="ＭＳ ゴシック"/>
                <w:sz w:val="24"/>
              </w:rPr>
              <w:t>％</w:t>
            </w:r>
          </w:p>
        </w:tc>
      </w:tr>
      <w:tr>
        <w:trPr>
          <w:trHeight w:val="540" w:hRule="atLeast"/>
        </w:trPr>
        <w:tc>
          <w:tcPr>
            <w:tcW w:w="588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行動に制約があること・やりたいことができないこと</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6.2</w:t>
            </w:r>
            <w:r>
              <w:rPr>
                <w:rFonts w:hint="eastAsia" w:ascii="ＭＳ ゴシック" w:hAnsi="ＭＳ ゴシック" w:eastAsia="ＭＳ ゴシック"/>
                <w:sz w:val="24"/>
              </w:rPr>
              <w:t>％</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16.5</w:t>
            </w:r>
            <w:r>
              <w:rPr>
                <w:rFonts w:hint="eastAsia" w:ascii="ＭＳ ゴシック" w:hAnsi="ＭＳ ゴシック" w:eastAsia="ＭＳ ゴシック"/>
                <w:sz w:val="24"/>
              </w:rPr>
              <w:t>％</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10.3</w:t>
            </w:r>
            <w:r>
              <w:rPr>
                <w:rFonts w:hint="eastAsia" w:ascii="ＭＳ ゴシック" w:hAnsi="ＭＳ ゴシック" w:eastAsia="ＭＳ ゴシック"/>
                <w:sz w:val="24"/>
              </w:rPr>
              <w:t>％</w:t>
            </w:r>
          </w:p>
        </w:tc>
      </w:tr>
      <w:tr>
        <w:trPr>
          <w:trHeight w:val="540" w:hRule="atLeast"/>
        </w:trPr>
        <w:tc>
          <w:tcPr>
            <w:tcW w:w="588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自分の体調・障害・病気等に関すること</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5.6</w:t>
            </w:r>
            <w:r>
              <w:rPr>
                <w:rFonts w:hint="eastAsia" w:ascii="ＭＳ ゴシック" w:hAnsi="ＭＳ ゴシック" w:eastAsia="ＭＳ ゴシック"/>
                <w:sz w:val="24"/>
              </w:rPr>
              <w:t>％</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11.3</w:t>
            </w:r>
            <w:r>
              <w:rPr>
                <w:rFonts w:hint="eastAsia" w:ascii="ＭＳ ゴシック" w:hAnsi="ＭＳ ゴシック" w:eastAsia="ＭＳ ゴシック"/>
                <w:sz w:val="24"/>
              </w:rPr>
              <w:t>％</w:t>
            </w:r>
          </w:p>
        </w:tc>
        <w:tc>
          <w:tcPr>
            <w:tcW w:w="122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eastAsia" w:ascii="ＭＳ ゴシック" w:hAnsi="ＭＳ ゴシック" w:eastAsia="ＭＳ ゴシック"/>
                <w:sz w:val="24"/>
              </w:rPr>
            </w:pPr>
            <w:r>
              <w:rPr>
                <w:rFonts w:hint="eastAsia" w:ascii="ＭＳ ゴシック" w:hAnsi="ＭＳ ゴシック" w:eastAsia="ＭＳ ゴシック"/>
                <w:sz w:val="24"/>
              </w:rPr>
              <w:t>5.7</w:t>
            </w:r>
            <w:r>
              <w:rPr>
                <w:rFonts w:hint="eastAsia" w:ascii="ＭＳ ゴシック" w:hAnsi="ＭＳ ゴシック" w:eastAsia="ＭＳ ゴシック"/>
                <w:sz w:val="24"/>
              </w:rPr>
              <w:t>％</w:t>
            </w:r>
          </w:p>
        </w:tc>
      </w:tr>
    </w:tbl>
    <w:p>
      <w:pPr>
        <w:pStyle w:val="0"/>
        <w:ind w:firstLine="240" w:firstLineChars="100"/>
        <w:rPr>
          <w:rFonts w:hint="eastAsia" w:ascii="ＭＳ ゴシック" w:hAnsi="ＭＳ ゴシック" w:eastAsia="ＭＳ ゴシック"/>
          <w:sz w:val="24"/>
        </w:rPr>
      </w:pPr>
    </w:p>
    <w:p>
      <w:pPr>
        <w:pStyle w:val="0"/>
        <w:ind w:firstLine="240" w:firstLineChars="100"/>
        <w:rPr>
          <w:rFonts w:hint="eastAsia" w:ascii="ＭＳ ゴシック" w:hAnsi="ＭＳ ゴシック" w:eastAsia="ＭＳ ゴシック"/>
          <w:sz w:val="24"/>
        </w:rPr>
      </w:pPr>
      <w:r>
        <w:rPr>
          <w:rFonts w:hint="eastAsia" w:ascii="ＭＳ ゴシック" w:hAnsi="ＭＳ ゴシック" w:eastAsia="ＭＳ ゴシック"/>
          <w:sz w:val="24"/>
        </w:rPr>
        <w:t>「満足している」及び「どちらかといえば満足している」を合わせた割合は</w:t>
      </w:r>
      <w:r>
        <w:rPr>
          <w:rFonts w:hint="eastAsia" w:ascii="ＭＳ ゴシック" w:hAnsi="ＭＳ ゴシック" w:eastAsia="ＭＳ ゴシック"/>
          <w:sz w:val="24"/>
        </w:rPr>
        <w:t>67.8</w:t>
      </w:r>
      <w:r>
        <w:rPr>
          <w:rFonts w:hint="eastAsia" w:ascii="ＭＳ ゴシック" w:hAnsi="ＭＳ ゴシック" w:eastAsia="ＭＳ ゴシック"/>
          <w:sz w:val="24"/>
        </w:rPr>
        <w:t>％と、前回（</w:t>
      </w:r>
      <w:r>
        <w:rPr>
          <w:rFonts w:hint="eastAsia" w:ascii="ＭＳ ゴシック" w:hAnsi="ＭＳ ゴシック" w:eastAsia="ＭＳ ゴシック"/>
          <w:sz w:val="24"/>
        </w:rPr>
        <w:t>69.9</w:t>
      </w:r>
      <w:r>
        <w:rPr>
          <w:rFonts w:hint="eastAsia" w:ascii="ＭＳ ゴシック" w:hAnsi="ＭＳ ゴシック" w:eastAsia="ＭＳ ゴシック"/>
          <w:sz w:val="24"/>
        </w:rPr>
        <w:t>％）、前々回（</w:t>
      </w:r>
      <w:r>
        <w:rPr>
          <w:rFonts w:hint="eastAsia" w:ascii="ＭＳ ゴシック" w:hAnsi="ＭＳ ゴシック" w:eastAsia="ＭＳ ゴシック"/>
          <w:sz w:val="24"/>
        </w:rPr>
        <w:t>67.9</w:t>
      </w:r>
      <w:r>
        <w:rPr>
          <w:rFonts w:hint="eastAsia" w:ascii="ＭＳ ゴシック" w:hAnsi="ＭＳ ゴシック" w:eastAsia="ＭＳ ゴシック"/>
          <w:sz w:val="24"/>
        </w:rPr>
        <w:t>％）調査結果と比べて、大きな変化はありませんでした。</w:t>
      </w:r>
    </w:p>
    <w:p>
      <w:pPr>
        <w:pStyle w:val="0"/>
        <w:rPr>
          <w:rFonts w:hint="eastAsia" w:ascii="ＭＳ ゴシック" w:hAnsi="ＭＳ ゴシック" w:eastAsia="ＭＳ ゴシック"/>
          <w:spacing w:val="20"/>
          <w:kern w:val="0"/>
          <w:sz w:val="24"/>
        </w:rPr>
      </w:pPr>
      <w:r>
        <w:rPr>
          <w:rFonts w:hint="eastAsia" w:ascii="ＭＳ ゴシック" w:hAnsi="ＭＳ ゴシック" w:eastAsia="ＭＳ ゴシック"/>
          <w:spacing w:val="20"/>
          <w:kern w:val="0"/>
          <w:sz w:val="24"/>
        </w:rPr>
        <w:t>　不満がある理由については、前回調査では「家計・収入・金銭に関すること」が</w:t>
      </w:r>
      <w:r>
        <w:rPr>
          <w:rFonts w:hint="eastAsia" w:ascii="ＭＳ ゴシック" w:hAnsi="ＭＳ ゴシック" w:eastAsia="ＭＳ ゴシック"/>
          <w:spacing w:val="20"/>
          <w:kern w:val="0"/>
          <w:sz w:val="24"/>
        </w:rPr>
        <w:t>20.2</w:t>
      </w:r>
      <w:r>
        <w:rPr>
          <w:rFonts w:hint="eastAsia" w:ascii="ＭＳ ゴシック" w:hAnsi="ＭＳ ゴシック" w:eastAsia="ＭＳ ゴシック"/>
          <w:spacing w:val="20"/>
          <w:kern w:val="0"/>
          <w:sz w:val="24"/>
        </w:rPr>
        <w:t>％と一番多かったが、今回調査では、新型コロナウイルス感染症による外出自粛や移動の制限、マスク着用などの影響により、「行動に制約があること・やりたいことができないこと」の割合が</w:t>
      </w:r>
      <w:r>
        <w:rPr>
          <w:rFonts w:hint="eastAsia" w:ascii="ＭＳ ゴシック" w:hAnsi="ＭＳ ゴシック" w:eastAsia="ＭＳ ゴシック"/>
          <w:spacing w:val="20"/>
          <w:kern w:val="0"/>
          <w:sz w:val="24"/>
        </w:rPr>
        <w:t>16.5</w:t>
      </w:r>
      <w:r>
        <w:rPr>
          <w:rFonts w:hint="eastAsia" w:ascii="ＭＳ ゴシック" w:hAnsi="ＭＳ ゴシック" w:eastAsia="ＭＳ ゴシック"/>
          <w:spacing w:val="20"/>
          <w:kern w:val="0"/>
          <w:sz w:val="24"/>
        </w:rPr>
        <w:t>％で一番多く（前回</w:t>
      </w:r>
      <w:r>
        <w:rPr>
          <w:rFonts w:hint="eastAsia" w:ascii="ＭＳ ゴシック" w:hAnsi="ＭＳ ゴシック" w:eastAsia="ＭＳ ゴシック"/>
          <w:spacing w:val="20"/>
          <w:kern w:val="0"/>
          <w:sz w:val="24"/>
        </w:rPr>
        <w:t>6.2</w:t>
      </w:r>
      <w:r>
        <w:rPr>
          <w:rFonts w:hint="eastAsia" w:ascii="ＭＳ ゴシック" w:hAnsi="ＭＳ ゴシック" w:eastAsia="ＭＳ ゴシック"/>
          <w:spacing w:val="20"/>
          <w:kern w:val="0"/>
          <w:sz w:val="24"/>
        </w:rPr>
        <w:t>％）なっています。</w:t>
      </w:r>
    </w:p>
    <w:tbl>
      <w:tblPr>
        <w:tblStyle w:val="11"/>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0" w:lastRow="0" w:firstColumn="0" w:lastColumn="0" w:noHBand="1" w:noVBand="1" w:val="0600"/>
      </w:tblPr>
      <w:tblGrid>
        <w:gridCol w:w="6825"/>
        <w:gridCol w:w="1224"/>
        <w:gridCol w:w="559"/>
        <w:gridCol w:w="1263"/>
      </w:tblGrid>
      <w:tr>
        <w:trPr>
          <w:trHeight w:val="731" w:hRule="atLeast"/>
        </w:trPr>
        <w:tc>
          <w:tcPr>
            <w:tcW w:w="6825" w:type="dxa"/>
            <w:tcBorders>
              <w:top w:val="double" w:color="auto" w:sz="4" w:space="0"/>
              <w:left w:val="double" w:color="auto" w:sz="4" w:space="0"/>
              <w:bottom w:val="double" w:color="auto" w:sz="4" w:space="0"/>
              <w:right w:val="double" w:color="auto" w:sz="4" w:space="0"/>
              <w:tl2br w:val="nil"/>
              <w:tr2bl w:val="nil"/>
            </w:tcBorders>
            <w:shd w:val="clear" w:color="auto" w:fill="auto"/>
            <w:vAlign w:val="center"/>
          </w:tcPr>
          <w:p>
            <w:pPr>
              <w:pStyle w:val="0"/>
              <w:snapToGrid w:val="0"/>
              <w:rPr>
                <w:rFonts w:hint="eastAsia" w:ascii="ＭＳ ゴシック" w:hAnsi="ＭＳ ゴシック" w:eastAsia="ＭＳ ゴシック"/>
                <w:sz w:val="24"/>
              </w:rPr>
            </w:pPr>
            <w:r>
              <w:rPr>
                <w:rFonts w:hint="eastAsia" w:ascii="ＭＳ ゴシック" w:hAnsi="ＭＳ ゴシック" w:eastAsia="ＭＳ ゴシック"/>
                <w:sz w:val="24"/>
              </w:rPr>
              <w:t>日常生活において自立し、社会参加をしていると感じている障害のある方の割合</w:t>
            </w:r>
          </w:p>
        </w:tc>
        <w:tc>
          <w:tcPr>
            <w:tcW w:w="1224" w:type="dxa"/>
            <w:tcBorders>
              <w:top w:val="nil"/>
              <w:left w:val="double" w:color="auto" w:sz="4" w:space="0"/>
              <w:bottom w:val="nil"/>
              <w:right w:val="nil"/>
              <w:tl2br w:val="nil"/>
              <w:tr2bl w:val="nil"/>
            </w:tcBorders>
            <w:shd w:val="clear" w:color="auto" w:fill="auto"/>
            <w:vAlign w:val="center"/>
          </w:tcPr>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H28</w:t>
            </w:r>
            <w:r>
              <w:rPr>
                <w:rFonts w:hint="eastAsia" w:ascii="ＭＳ ゴシック" w:hAnsi="ＭＳ ゴシック" w:eastAsia="ＭＳ ゴシック"/>
                <w:sz w:val="24"/>
              </w:rPr>
              <w:t>調査</w:t>
            </w:r>
          </w:p>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51.3%</w:t>
            </w:r>
          </w:p>
        </w:tc>
        <w:tc>
          <w:tcPr>
            <w:tcW w:w="559" w:type="dxa"/>
            <w:tcBorders>
              <w:top w:val="nil"/>
              <w:left w:val="nil"/>
              <w:bottom w:val="nil"/>
              <w:right w:val="nil"/>
              <w:tl2br w:val="nil"/>
              <w:tr2bl w:val="nil"/>
            </w:tcBorders>
            <w:shd w:val="clear" w:color="auto" w:fill="auto"/>
            <w:vAlign w:val="top"/>
          </w:tcPr>
          <w:p>
            <w:pPr>
              <w:pStyle w:val="0"/>
              <w:snapToGrid w:val="0"/>
              <w:jc w:val="center"/>
              <w:rPr>
                <w:rFonts w:hint="eastAsia" w:ascii="ＭＳ ゴシック" w:hAnsi="ＭＳ ゴシック" w:eastAsia="ＭＳ ゴシック"/>
                <w:sz w:val="24"/>
              </w:rPr>
            </w:pPr>
          </w:p>
          <w:p>
            <w:pPr>
              <w:pStyle w:val="0"/>
              <w:snapToGrid w:val="0"/>
              <w:rPr>
                <w:rFonts w:hint="eastAsia" w:ascii="ＭＳ ゴシック" w:hAnsi="ＭＳ ゴシック" w:eastAsia="ＭＳ ゴシック"/>
                <w:sz w:val="24"/>
              </w:rPr>
            </w:pPr>
            <w:r>
              <w:rPr>
                <w:rFonts w:hint="default" w:ascii="ＭＳ ゴシック" w:hAnsi="ＭＳ ゴシック" w:eastAsia="ＭＳ ゴシック"/>
                <w:sz w:val="24"/>
              </w:rPr>
              <mc:AlternateContent>
                <mc:Choice Requires="wps">
                  <w:drawing>
                    <wp:inline>
                      <wp:extent cx="200025" cy="228600"/>
                      <wp:effectExtent l="635" t="1270" r="29845" b="11430"/>
                      <wp:docPr id="1121" name="AutoShape 674"/>
                      <a:graphic xmlns:a="http://schemas.openxmlformats.org/drawingml/2006/main">
                        <a:graphicData uri="http://schemas.microsoft.com/office/word/2010/wordprocessingShape">
                          <wps:wsp>
                            <wps:cNvPr id="1121" name="AutoShape 674"/>
                            <wps:cNvSpPr>
                              <a:spLocks noRot="1" noMove="1" noResize="1" noChangeArrowheads="1"/>
                            </wps:cNvSpPr>
                            <wps:spPr>
                              <a:xfrm>
                                <a:off x="0" y="0"/>
                                <a:ext cx="200025" cy="228600"/>
                              </a:xfrm>
                              <a:prstGeom prst="rightArrow">
                                <a:avLst>
                                  <a:gd name="adj1" fmla="val 50000"/>
                                  <a:gd name="adj2" fmla="val 48889"/>
                                </a:avLst>
                              </a:prstGeom>
                              <a:solidFill>
                                <a:srgbClr val="C0C0C0"/>
                              </a:solidFill>
                              <a:ln w="9525">
                                <a:solidFill>
                                  <a:sysClr val="windowText" lastClr="000000"/>
                                </a:solidFill>
                                <a:miter/>
                              </a:ln>
                            </wps:spPr>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74" style="height:18pt;width:15.75pt;" o:spid="_x0000_s1121" filled="t" fillcolor="#c0c0c0" stroked="t" strokecolor="#000000" strokeweight="0.75pt" o:spt="13" type="#_x0000_t13" adj="11040,5400">
                      <v:fill/>
                      <v:stroke filltype="solid"/>
                      <v:textbox style="layout-flow:horizontal;"/>
                      <v:imagedata o:title=""/>
                      <o:lock v:ext="edit" position="t" rotation="t"/>
                      <w10:anchorlock/>
                    </v:shape>
                  </w:pict>
                </mc:Fallback>
              </mc:AlternateContent>
            </w:r>
          </w:p>
        </w:tc>
        <w:tc>
          <w:tcPr>
            <w:tcW w:w="1263" w:type="dxa"/>
            <w:tcBorders>
              <w:top w:val="nil"/>
              <w:left w:val="nil"/>
              <w:bottom w:val="nil"/>
              <w:right w:val="nil"/>
              <w:tl2br w:val="nil"/>
              <w:tr2bl w:val="nil"/>
            </w:tcBorders>
            <w:shd w:val="clear" w:color="auto" w:fill="auto"/>
            <w:vAlign w:val="center"/>
          </w:tcPr>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R2</w:t>
            </w:r>
            <w:r>
              <w:rPr>
                <w:rFonts w:hint="eastAsia" w:ascii="ＭＳ ゴシック" w:hAnsi="ＭＳ ゴシック" w:eastAsia="ＭＳ ゴシック"/>
                <w:sz w:val="24"/>
              </w:rPr>
              <w:t>調査</w:t>
            </w:r>
          </w:p>
          <w:p>
            <w:pPr>
              <w:pStyle w:val="0"/>
              <w:snapToGrid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48.3%</w:t>
            </w:r>
          </w:p>
        </w:tc>
      </w:tr>
    </w:tbl>
    <w:p>
      <w:pPr>
        <w:pStyle w:val="0"/>
        <w:rPr>
          <w:rFonts w:hint="eastAsia" w:ascii="ＭＳ 明朝" w:hAnsi="ＭＳ 明朝"/>
          <w:sz w:val="24"/>
        </w:rPr>
      </w:pPr>
    </w:p>
    <w:p>
      <w:pPr>
        <w:pStyle w:val="0"/>
        <w:rPr>
          <w:rFonts w:hint="eastAsia" w:ascii="ＭＳ 明朝" w:hAnsi="ＭＳ 明朝"/>
          <w:sz w:val="24"/>
        </w:rPr>
      </w:pPr>
      <w:r>
        <w:rPr>
          <w:rFonts w:hint="default" w:ascii="ＭＳ 明朝" w:hAnsi="ＭＳ 明朝"/>
          <w:sz w:val="24"/>
        </w:rPr>
        <mc:AlternateContent>
          <mc:Choice Requires="wps">
            <w:drawing>
              <wp:inline>
                <wp:extent cx="6054090" cy="682625"/>
                <wp:effectExtent l="635" t="635" r="29845" b="10795"/>
                <wp:docPr id="1122" name="Rectangle 675"/>
                <a:graphic xmlns:a="http://schemas.openxmlformats.org/drawingml/2006/main">
                  <a:graphicData uri="http://schemas.microsoft.com/office/word/2010/wordprocessingShape">
                    <wps:wsp>
                      <wps:cNvPr id="1122" name="Rectangle 675"/>
                      <wps:cNvSpPr>
                        <a:spLocks noRot="1" noMove="1" noResize="1" noChangeArrowheads="1"/>
                      </wps:cNvSpPr>
                      <wps:spPr>
                        <a:xfrm>
                          <a:off x="0" y="0"/>
                          <a:ext cx="6054090" cy="682625"/>
                        </a:xfrm>
                        <a:prstGeom prst="rect">
                          <a:avLst/>
                        </a:prstGeom>
                        <a:solidFill>
                          <a:srgbClr val="FFFFFF"/>
                        </a:solidFill>
                        <a:ln w="9525">
                          <a:solidFill>
                            <a:sysClr val="windowText" lastClr="000000"/>
                          </a:solidFill>
                          <a:miter/>
                        </a:ln>
                      </wps:spPr>
                      <wps:txbx>
                        <w:txbxContent>
                          <w:p>
                            <w:pPr>
                              <w:pStyle w:val="0"/>
                              <w:spacing w:before="34" w:beforeLines="10" w:beforeAutospacing="0"/>
                              <w:rPr>
                                <w:rFonts w:hint="eastAsia"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27</w:t>
                            </w:r>
                            <w:r>
                              <w:rPr>
                                <w:rFonts w:hint="eastAsia" w:ascii="ＭＳ ゴシック" w:hAnsi="ＭＳ ゴシック" w:eastAsia="ＭＳ ゴシック"/>
                              </w:rPr>
                              <w:t>　あなたは、日常生活において自立し、社会参加をしていると感じていますか。</w:t>
                            </w:r>
                          </w:p>
                          <w:p>
                            <w:pPr>
                              <w:pStyle w:val="0"/>
                              <w:snapToGrid w:val="0"/>
                              <w:spacing w:before="34" w:beforeLines="10" w:beforeAutospacing="0"/>
                              <w:ind w:left="216" w:hanging="216" w:hangingChars="100"/>
                              <w:rPr>
                                <w:rFonts w:hint="eastAsia" w:ascii="ＭＳ ゴシック" w:hAnsi="ＭＳ ゴシック" w:eastAsia="ＭＳ ゴシック"/>
                              </w:rPr>
                            </w:pPr>
                            <w:r>
                              <w:rPr>
                                <w:rFonts w:hint="eastAsia" w:ascii="ＭＳ ゴシック" w:hAnsi="ＭＳ ゴシック" w:eastAsia="ＭＳ ゴシック"/>
                                <w:w w:val="90"/>
                              </w:rPr>
                              <w:t>※ここでいう「自立」とは、必要とする支援を受けながらも、自分の意思をもって日常生活を送ることを含みます。</w:t>
                            </w:r>
                          </w:p>
                        </w:txbxContent>
                      </wps:txbx>
                      <wps:bodyPr vertOverflow="overflow" horzOverflow="overflow" lIns="74159" tIns="8999" rIns="74159" bIns="8999" anchor="ctr" upright="1"/>
                    </wps:wsp>
                  </a:graphicData>
                </a:graphic>
              </wp:inline>
            </w:drawing>
          </mc:Choice>
          <mc:Fallback>
            <w:pict>
              <v:rect id="Rectangle 675" style="v-text-anchor:middle;height:53.75pt;width:476.7pt;" o:spid="_x0000_s1122" filled="t" fillcolor="#ffffff" stroked="t" strokecolor="#000000" strokeweight="0.75pt" o:spt="1">
                <v:fill/>
                <v:stroke filltype="solid"/>
                <v:textbox style="layout-flow:horizontal;" inset="2.0599722222222216mm,0.24997222222222218mm,2.0599722222222216mm,0.24997222222222218mm">
                  <w:txbxContent>
                    <w:p>
                      <w:pPr>
                        <w:pStyle w:val="0"/>
                        <w:spacing w:before="34" w:beforeLines="10" w:beforeAutospacing="0"/>
                        <w:rPr>
                          <w:rFonts w:hint="eastAsia" w:ascii="ＭＳ ゴシック" w:hAnsi="ＭＳ ゴシック" w:eastAsia="ＭＳ ゴシック"/>
                        </w:rPr>
                      </w:pPr>
                      <w:r>
                        <w:rPr>
                          <w:rFonts w:hint="eastAsia" w:ascii="ＭＳ ゴシック" w:hAnsi="ＭＳ ゴシック" w:eastAsia="ＭＳ ゴシック"/>
                        </w:rPr>
                        <w:t>問</w:t>
                      </w:r>
                      <w:r>
                        <w:rPr>
                          <w:rFonts w:hint="eastAsia" w:ascii="ＭＳ ゴシック" w:hAnsi="ＭＳ ゴシック" w:eastAsia="ＭＳ ゴシック"/>
                        </w:rPr>
                        <w:t>27</w:t>
                      </w:r>
                      <w:r>
                        <w:rPr>
                          <w:rFonts w:hint="eastAsia" w:ascii="ＭＳ ゴシック" w:hAnsi="ＭＳ ゴシック" w:eastAsia="ＭＳ ゴシック"/>
                        </w:rPr>
                        <w:t>　あなたは、日常生活において自立し、社会参加をしていると感じていますか。</w:t>
                      </w:r>
                    </w:p>
                    <w:p>
                      <w:pPr>
                        <w:pStyle w:val="0"/>
                        <w:snapToGrid w:val="0"/>
                        <w:spacing w:before="34" w:beforeLines="10" w:beforeAutospacing="0"/>
                        <w:ind w:left="216" w:hanging="216" w:hangingChars="100"/>
                        <w:rPr>
                          <w:rFonts w:hint="eastAsia" w:ascii="ＭＳ ゴシック" w:hAnsi="ＭＳ ゴシック" w:eastAsia="ＭＳ ゴシック"/>
                        </w:rPr>
                      </w:pPr>
                      <w:r>
                        <w:rPr>
                          <w:rFonts w:hint="eastAsia" w:ascii="ＭＳ ゴシック" w:hAnsi="ＭＳ ゴシック" w:eastAsia="ＭＳ ゴシック"/>
                          <w:w w:val="90"/>
                        </w:rPr>
                        <w:t>※ここでいう「自立」とは、必要とする支援を受けながらも、自分の意思をもって日常生活を送ることを含みます。</w:t>
                      </w:r>
                    </w:p>
                  </w:txbxContent>
                </v:textbox>
                <v:imagedata o:title=""/>
                <o:lock v:ext="edit" position="t" rotation="t"/>
                <w10:anchorlock/>
              </v:rect>
            </w:pict>
          </mc:Fallback>
        </mc:AlternateContent>
      </w:r>
    </w:p>
    <w:p>
      <w:pPr>
        <w:pStyle w:val="0"/>
        <w:rPr>
          <w:rFonts w:hint="eastAsia"/>
        </w:rPr>
      </w:pPr>
      <w:r>
        <w:rPr>
          <w:rFonts w:hint="eastAsia"/>
        </w:rPr>
        <w:drawing>
          <wp:inline distL="203200" distR="203200">
            <wp:extent cx="6192520" cy="3565525"/>
            <wp:effectExtent l="0" t="0" r="0" b="0"/>
            <wp:docPr id="1123" name="オブジェクト 0"/>
            <a:graphic xmlns:a="http://schemas.openxmlformats.org/drawingml/2006/main">
              <a:graphicData uri="http://schemas.openxmlformats.org/drawingml/2006/picture">
                <pic:pic xmlns:pic="http://schemas.openxmlformats.org/drawingml/2006/picture">
                  <pic:nvPicPr>
                    <pic:cNvPr id="1123" name="オブジェクト 0"/>
                    <pic:cNvPicPr>
                      <a:picLocks noChangeAspect="1"/>
                    </pic:cNvPicPr>
                  </pic:nvPicPr>
                  <pic:blipFill>
                    <a:blip r:embed="rId54"/>
                    <a:stretch>
                      <a:fillRect/>
                    </a:stretch>
                  </pic:blipFill>
                  <pic:spPr>
                    <a:xfrm>
                      <a:off x="0" y="0"/>
                      <a:ext cx="6192520" cy="3565525"/>
                    </a:xfrm>
                    <a:prstGeom prst="rect">
                      <a:avLst/>
                    </a:prstGeom>
                    <a:noFill/>
                    <a:ln>
                      <a:miter/>
                    </a:ln>
                  </pic:spPr>
                </pic:pic>
              </a:graphicData>
            </a:graphic>
          </wp:inline>
        </w:drawing>
      </w:r>
    </w:p>
    <w:tbl>
      <w:tblPr>
        <w:tblStyle w:val="11"/>
        <w:tblW w:w="0" w:type="auto"/>
        <w:tblInd w:w="2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0" w:lastRow="0" w:firstColumn="0" w:lastColumn="0" w:noHBand="1" w:noVBand="1" w:val="0600"/>
      </w:tblPr>
      <w:tblGrid>
        <w:gridCol w:w="1260"/>
        <w:gridCol w:w="1931"/>
        <w:gridCol w:w="1931"/>
        <w:gridCol w:w="1932"/>
        <w:gridCol w:w="1190"/>
        <w:gridCol w:w="1190"/>
      </w:tblGrid>
      <w:tr>
        <w:trPr/>
        <w:tc>
          <w:tcPr>
            <w:tcW w:w="126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napToGrid w:val="0"/>
              <w:rPr>
                <w:rFonts w:hint="eastAsia" w:ascii="ＭＳ 明朝" w:hAnsi="ＭＳ 明朝"/>
              </w:rPr>
            </w:pPr>
            <w:r>
              <w:rPr>
                <w:rFonts w:hint="default"/>
                <w:sz w:val="24"/>
              </w:rPr>
              <mc:AlternateContent>
                <mc:Choice Requires="wps">
                  <w:drawing>
                    <wp:anchor simplePos="0" relativeHeight="68" behindDoc="0" locked="1" layoutInCell="1" hidden="0" allowOverlap="1">
                      <wp:simplePos x="0" y="0"/>
                      <wp:positionH relativeFrom="column">
                        <wp:posOffset>2698115</wp:posOffset>
                      </wp:positionH>
                      <wp:positionV relativeFrom="page">
                        <wp:posOffset>8771255</wp:posOffset>
                      </wp:positionV>
                      <wp:extent cx="817245" cy="342265"/>
                      <wp:effectExtent l="19685" t="19685" r="29845" b="20320"/>
                      <wp:wrapNone/>
                      <wp:docPr id="1124" name="楕円 98"/>
                      <a:graphic xmlns:a="http://schemas.openxmlformats.org/drawingml/2006/main">
                        <a:graphicData uri="http://schemas.microsoft.com/office/word/2010/wordprocessingShape">
                          <wps:wsp>
                            <wps:cNvPr id="1124" name="楕円 98"/>
                            <wps:cNvSpPr>
                              <a:spLocks noChangeArrowheads="1"/>
                            </wps:cNvSpPr>
                            <wps:spPr>
                              <a:xfrm>
                                <a:off x="0" y="0"/>
                                <a:ext cx="817245" cy="342265"/>
                              </a:xfrm>
                              <a:prstGeom prst="ellipse">
                                <a:avLst/>
                              </a:prstGeom>
                              <a:noFill/>
                              <a:ln w="28575">
                                <a:solidFill>
                                  <a:sysClr val="windowText" lastClr="000000"/>
                                </a:solidFill>
                              </a:ln>
                            </wps:spPr>
                            <wps:bodyPr/>
                          </wps:wsp>
                        </a:graphicData>
                      </a:graphic>
                    </wp:anchor>
                  </w:drawing>
                </mc:Choice>
                <mc:Fallback>
                  <w:pict>
                    <v:oval id="楕円 98" style="margin-top:690.65pt;mso-position-vertical-relative:page;mso-position-horizontal-relative:text;position:absolute;height:26.95pt;width:64.34pt;margin-left:212.45pt;z-index:68;" o:spid="_x0000_s1124" o:allowincell="t" o:allowoverlap="t" filled="f" stroked="t" strokecolor="#000000" strokeweight="2.25pt" o:spt="3">
                      <v:fill/>
                      <v:stroke filltype="solid"/>
                      <v:textbox style="layout-flow:horizontal;"/>
                      <v:imagedata o:title=""/>
                      <w10:wrap type="none" anchorx="text" anchory="page"/>
                      <w10:anchorlock/>
                    </v:oval>
                  </w:pict>
                </mc:Fallback>
              </mc:AlternateContent>
            </w:r>
          </w:p>
        </w:tc>
        <w:tc>
          <w:tcPr>
            <w:tcW w:w="1931" w:type="dxa"/>
            <w:tcBorders>
              <w:top w:val="single" w:color="auto" w:sz="4" w:space="0"/>
              <w:left w:val="single" w:color="auto" w:sz="4" w:space="0"/>
              <w:bottom w:val="single" w:color="auto" w:sz="4" w:space="0"/>
              <w:right w:val="dashed" w:color="auto" w:sz="4" w:space="0"/>
              <w:tl2br w:val="nil"/>
              <w:tr2bl w:val="nil"/>
            </w:tcBorders>
            <w:shd w:val="clear" w:color="auto" w:fill="auto"/>
            <w:vAlign w:val="center"/>
          </w:tcPr>
          <w:p>
            <w:pPr>
              <w:pStyle w:val="0"/>
              <w:snapToGrid w:val="0"/>
              <w:jc w:val="center"/>
              <w:rPr>
                <w:rFonts w:hint="eastAsia" w:ascii="ＭＳ 明朝" w:hAnsi="ＭＳ 明朝"/>
                <w:w w:val="66"/>
              </w:rPr>
            </w:pPr>
            <w:r>
              <w:rPr>
                <w:rFonts w:hint="eastAsia" w:ascii="ＭＳ 明朝" w:hAnsi="ＭＳ 明朝"/>
                <w:w w:val="66"/>
              </w:rPr>
              <w:t>自立し、社会参加を</w:t>
            </w:r>
          </w:p>
          <w:p>
            <w:pPr>
              <w:pStyle w:val="0"/>
              <w:snapToGrid w:val="0"/>
              <w:jc w:val="center"/>
              <w:rPr>
                <w:rFonts w:hint="eastAsia" w:ascii="ＭＳ 明朝" w:hAnsi="ＭＳ 明朝"/>
                <w:w w:val="66"/>
              </w:rPr>
            </w:pPr>
            <w:r>
              <w:rPr>
                <w:rFonts w:hint="eastAsia" w:ascii="ＭＳ 明朝" w:hAnsi="ＭＳ 明朝"/>
                <w:w w:val="66"/>
              </w:rPr>
              <w:t>していると感じている</w:t>
            </w:r>
          </w:p>
        </w:tc>
        <w:tc>
          <w:tcPr>
            <w:tcW w:w="1931" w:type="dxa"/>
            <w:tcBorders>
              <w:top w:val="single" w:color="auto" w:sz="4" w:space="0"/>
              <w:left w:val="dashed" w:color="auto" w:sz="4" w:space="0"/>
              <w:bottom w:val="single" w:color="auto" w:sz="4" w:space="0"/>
              <w:right w:val="single" w:color="auto" w:sz="4" w:space="0"/>
              <w:tl2br w:val="nil"/>
              <w:tr2bl w:val="nil"/>
            </w:tcBorders>
            <w:shd w:val="clear" w:color="auto" w:fill="auto"/>
            <w:vAlign w:val="center"/>
          </w:tcPr>
          <w:p>
            <w:pPr>
              <w:pStyle w:val="0"/>
              <w:snapToGrid w:val="0"/>
              <w:jc w:val="center"/>
              <w:rPr>
                <w:rFonts w:hint="eastAsia" w:ascii="ＭＳ 明朝" w:hAnsi="ＭＳ 明朝"/>
                <w:w w:val="66"/>
              </w:rPr>
            </w:pPr>
            <w:r>
              <w:rPr>
                <w:rFonts w:hint="eastAsia" w:ascii="ＭＳ 明朝" w:hAnsi="ＭＳ 明朝"/>
                <w:w w:val="66"/>
              </w:rPr>
              <w:t>ある程度自立し、社会参加</w:t>
            </w:r>
          </w:p>
          <w:p>
            <w:pPr>
              <w:pStyle w:val="0"/>
              <w:snapToGrid w:val="0"/>
              <w:jc w:val="center"/>
              <w:rPr>
                <w:rFonts w:hint="eastAsia" w:ascii="ＭＳ 明朝" w:hAnsi="ＭＳ 明朝"/>
                <w:w w:val="66"/>
              </w:rPr>
            </w:pPr>
            <w:r>
              <w:rPr>
                <w:rFonts w:hint="eastAsia" w:ascii="ＭＳ 明朝" w:hAnsi="ＭＳ 明朝"/>
                <w:w w:val="66"/>
              </w:rPr>
              <w:t>をしていると感じている</w:t>
            </w:r>
          </w:p>
        </w:tc>
        <w:tc>
          <w:tcPr>
            <w:tcW w:w="193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napToGrid w:val="0"/>
              <w:jc w:val="center"/>
              <w:rPr>
                <w:rFonts w:hint="eastAsia" w:ascii="ＭＳ 明朝" w:hAnsi="ＭＳ 明朝"/>
                <w:w w:val="66"/>
              </w:rPr>
            </w:pPr>
            <w:r>
              <w:rPr>
                <w:rFonts w:hint="eastAsia" w:ascii="ＭＳ 明朝" w:hAnsi="ＭＳ 明朝"/>
                <w:w w:val="66"/>
              </w:rPr>
              <w:t>自立し、社会参加を</w:t>
            </w:r>
          </w:p>
          <w:p>
            <w:pPr>
              <w:pStyle w:val="0"/>
              <w:snapToGrid w:val="0"/>
              <w:jc w:val="center"/>
              <w:rPr>
                <w:rFonts w:hint="eastAsia" w:ascii="ＭＳ 明朝" w:hAnsi="ＭＳ 明朝"/>
                <w:w w:val="66"/>
              </w:rPr>
            </w:pPr>
            <w:r>
              <w:rPr>
                <w:rFonts w:hint="eastAsia" w:ascii="ＭＳ 明朝" w:hAnsi="ＭＳ 明朝"/>
                <w:w w:val="66"/>
              </w:rPr>
              <w:t>しているとは感じていない</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napToGrid w:val="0"/>
              <w:jc w:val="center"/>
              <w:rPr>
                <w:rFonts w:hint="eastAsia" w:ascii="ＭＳ 明朝" w:hAnsi="ＭＳ 明朝"/>
                <w:w w:val="66"/>
              </w:rPr>
            </w:pPr>
            <w:r>
              <w:rPr>
                <w:rFonts w:hint="eastAsia" w:ascii="ＭＳ 明朝" w:hAnsi="ＭＳ 明朝"/>
                <w:w w:val="66"/>
              </w:rPr>
              <w:t>わからない</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napToGrid w:val="0"/>
              <w:jc w:val="center"/>
              <w:rPr>
                <w:rFonts w:hint="eastAsia" w:ascii="ＭＳ 明朝" w:hAnsi="ＭＳ 明朝"/>
                <w:w w:val="66"/>
              </w:rPr>
            </w:pPr>
            <w:r>
              <w:rPr>
                <w:rFonts w:hint="eastAsia" w:ascii="ＭＳ 明朝" w:hAnsi="ＭＳ 明朝"/>
                <w:w w:val="66"/>
              </w:rPr>
              <w:t>無回答</w:t>
            </w:r>
          </w:p>
        </w:tc>
      </w:tr>
      <w:tr>
        <w:trPr>
          <w:trHeight w:val="454" w:hRule="atLeast"/>
        </w:trPr>
        <w:tc>
          <w:tcPr>
            <w:tcW w:w="126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eastAsia" w:ascii="ＭＳ 明朝" w:hAnsi="ＭＳ 明朝"/>
                <w:sz w:val="24"/>
              </w:rPr>
            </w:pPr>
            <w:r>
              <w:rPr>
                <w:rFonts w:hint="eastAsia" w:ascii="ＭＳ 明朝" w:hAnsi="ＭＳ 明朝"/>
                <w:sz w:val="24"/>
              </w:rPr>
              <w:t>H24</w:t>
            </w:r>
          </w:p>
          <w:p>
            <w:pPr>
              <w:pStyle w:val="0"/>
              <w:jc w:val="center"/>
              <w:rPr>
                <w:rFonts w:hint="eastAsia" w:ascii="ＭＳ 明朝" w:hAnsi="ＭＳ 明朝"/>
                <w:sz w:val="24"/>
              </w:rPr>
            </w:pPr>
            <w:r>
              <w:rPr>
                <w:rFonts w:hint="eastAsia" w:ascii="ＭＳ 明朝" w:hAnsi="ＭＳ 明朝"/>
                <w:w w:val="80"/>
                <w:sz w:val="24"/>
              </w:rPr>
              <w:t>前々回調査</w:t>
            </w:r>
          </w:p>
        </w:tc>
        <w:tc>
          <w:tcPr>
            <w:tcW w:w="1931" w:type="dxa"/>
            <w:tcBorders>
              <w:top w:val="single" w:color="auto" w:sz="4" w:space="0"/>
              <w:left w:val="single" w:color="auto" w:sz="4" w:space="0"/>
              <w:bottom w:val="single" w:color="auto" w:sz="4" w:space="0"/>
              <w:right w:val="dashed"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19.1%</w:t>
            </w:r>
          </w:p>
        </w:tc>
        <w:tc>
          <w:tcPr>
            <w:tcW w:w="1931" w:type="dxa"/>
            <w:tcBorders>
              <w:top w:val="single" w:color="auto" w:sz="4" w:space="0"/>
              <w:left w:val="dashed"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26.3%</w:t>
            </w:r>
          </w:p>
        </w:tc>
        <w:tc>
          <w:tcPr>
            <w:tcW w:w="193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21.1%</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18.0%</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15.5%</w:t>
            </w:r>
          </w:p>
        </w:tc>
      </w:tr>
      <w:tr>
        <w:trPr>
          <w:trHeight w:val="510" w:hRule="atLeast"/>
        </w:trPr>
        <w:tc>
          <w:tcPr>
            <w:tcW w:w="1260"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rPr>
            </w:pPr>
          </w:p>
        </w:tc>
        <w:tc>
          <w:tcPr>
            <w:tcW w:w="1931" w:type="dxa"/>
            <w:tcBorders>
              <w:top w:val="single" w:color="auto" w:sz="4" w:space="0"/>
              <w:left w:val="single" w:color="auto" w:sz="4" w:space="0"/>
              <w:bottom w:val="single" w:color="auto" w:sz="4" w:space="0"/>
              <w:right w:val="nil"/>
              <w:tl2br w:val="nil"/>
              <w:tr2bl w:val="nil"/>
            </w:tcBorders>
            <w:shd w:val="clear" w:color="auto" w:fill="auto"/>
            <w:vAlign w:val="center"/>
          </w:tcPr>
          <w:p>
            <w:pPr>
              <w:pStyle w:val="0"/>
              <w:rPr>
                <w:rFonts w:hint="eastAsia"/>
              </w:rPr>
            </w:pPr>
          </w:p>
        </w:tc>
        <w:tc>
          <w:tcPr>
            <w:tcW w:w="1931"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45.4%</w:t>
            </w:r>
          </w:p>
        </w:tc>
        <w:tc>
          <w:tcPr>
            <w:tcW w:w="193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21.1%</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18.0%</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15.5%</w:t>
            </w:r>
          </w:p>
        </w:tc>
      </w:tr>
      <w:tr>
        <w:trPr>
          <w:trHeight w:val="550" w:hRule="atLeast"/>
        </w:trPr>
        <w:tc>
          <w:tcPr>
            <w:tcW w:w="126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eastAsia" w:ascii="ＭＳ 明朝" w:hAnsi="ＭＳ 明朝"/>
                <w:sz w:val="24"/>
              </w:rPr>
            </w:pPr>
            <w:r>
              <w:rPr>
                <w:rFonts w:hint="eastAsia" w:ascii="ＭＳ 明朝" w:hAnsi="ＭＳ 明朝"/>
                <w:sz w:val="24"/>
              </w:rPr>
              <w:t>H28</w:t>
            </w:r>
          </w:p>
          <w:p>
            <w:pPr>
              <w:pStyle w:val="0"/>
              <w:jc w:val="center"/>
              <w:rPr>
                <w:rFonts w:hint="eastAsia" w:ascii="ＭＳ 明朝" w:hAnsi="ＭＳ 明朝"/>
                <w:sz w:val="24"/>
              </w:rPr>
            </w:pPr>
            <w:r>
              <w:rPr>
                <w:rFonts w:hint="eastAsia" w:ascii="ＭＳ 明朝" w:hAnsi="ＭＳ 明朝"/>
                <w:sz w:val="24"/>
              </w:rPr>
              <w:t>前回調査</w:t>
            </w:r>
          </w:p>
        </w:tc>
        <w:tc>
          <w:tcPr>
            <w:tcW w:w="1931" w:type="dxa"/>
            <w:tcBorders>
              <w:top w:val="single" w:color="auto" w:sz="4" w:space="0"/>
              <w:left w:val="single" w:color="auto" w:sz="4" w:space="0"/>
              <w:bottom w:val="single" w:color="auto" w:sz="4" w:space="0"/>
              <w:right w:val="dashed"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22.3%</w:t>
            </w:r>
          </w:p>
        </w:tc>
        <w:tc>
          <w:tcPr>
            <w:tcW w:w="1931" w:type="dxa"/>
            <w:tcBorders>
              <w:top w:val="single" w:color="auto" w:sz="4" w:space="0"/>
              <w:left w:val="dashed"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29.0%</w:t>
            </w:r>
          </w:p>
        </w:tc>
        <w:tc>
          <w:tcPr>
            <w:tcW w:w="193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19.7%</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17.8%</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11.1%</w:t>
            </w:r>
          </w:p>
        </w:tc>
      </w:tr>
      <w:tr>
        <w:trPr>
          <w:trHeight w:val="510" w:hRule="atLeast"/>
        </w:trPr>
        <w:tc>
          <w:tcPr>
            <w:tcW w:w="1260"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rPr>
            </w:pPr>
          </w:p>
        </w:tc>
        <w:tc>
          <w:tcPr>
            <w:tcW w:w="1931" w:type="dxa"/>
            <w:tcBorders>
              <w:top w:val="single" w:color="auto" w:sz="4" w:space="0"/>
              <w:left w:val="single" w:color="auto" w:sz="4" w:space="0"/>
              <w:bottom w:val="single" w:color="auto" w:sz="4" w:space="0"/>
              <w:right w:val="nil"/>
              <w:tl2br w:val="nil"/>
              <w:tr2bl w:val="nil"/>
            </w:tcBorders>
            <w:shd w:val="clear" w:color="auto" w:fill="auto"/>
            <w:vAlign w:val="center"/>
          </w:tcPr>
          <w:p>
            <w:pPr>
              <w:pStyle w:val="0"/>
              <w:rPr>
                <w:rFonts w:hint="eastAsia"/>
              </w:rPr>
            </w:pPr>
          </w:p>
        </w:tc>
        <w:tc>
          <w:tcPr>
            <w:tcW w:w="1931"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51.3%</w:t>
            </w:r>
          </w:p>
        </w:tc>
        <w:tc>
          <w:tcPr>
            <w:tcW w:w="193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19.7%</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17.8%</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11.1%</w:t>
            </w:r>
          </w:p>
        </w:tc>
      </w:tr>
      <w:tr>
        <w:trPr>
          <w:trHeight w:val="510" w:hRule="atLeast"/>
        </w:trPr>
        <w:tc>
          <w:tcPr>
            <w:tcW w:w="126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eastAsia" w:ascii="ＭＳ 明朝" w:hAnsi="ＭＳ 明朝"/>
                <w:sz w:val="24"/>
              </w:rPr>
            </w:pPr>
            <w:r>
              <w:rPr>
                <w:rFonts w:hint="eastAsia" w:ascii="ＭＳ 明朝" w:hAnsi="ＭＳ 明朝"/>
                <w:sz w:val="24"/>
              </w:rPr>
              <w:t>R2</w:t>
            </w:r>
          </w:p>
          <w:p>
            <w:pPr>
              <w:pStyle w:val="0"/>
              <w:jc w:val="center"/>
              <w:rPr>
                <w:rFonts w:hint="eastAsia" w:ascii="ＭＳ 明朝" w:hAnsi="ＭＳ 明朝"/>
                <w:sz w:val="24"/>
              </w:rPr>
            </w:pPr>
            <w:r>
              <w:rPr>
                <w:rFonts w:hint="eastAsia" w:ascii="ＭＳ 明朝" w:hAnsi="ＭＳ 明朝"/>
                <w:sz w:val="24"/>
              </w:rPr>
              <w:t>今回調査</w:t>
            </w:r>
          </w:p>
        </w:tc>
        <w:tc>
          <w:tcPr>
            <w:tcW w:w="1931" w:type="dxa"/>
            <w:tcBorders>
              <w:top w:val="single" w:color="auto" w:sz="4" w:space="0"/>
              <w:left w:val="single" w:color="auto" w:sz="4" w:space="0"/>
              <w:bottom w:val="single" w:color="auto" w:sz="4" w:space="0"/>
              <w:right w:val="dashed"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20.0%</w:t>
            </w:r>
          </w:p>
        </w:tc>
        <w:tc>
          <w:tcPr>
            <w:tcW w:w="1931" w:type="dxa"/>
            <w:tcBorders>
              <w:top w:val="single" w:color="auto" w:sz="4" w:space="0"/>
              <w:left w:val="dashed"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28.3%</w:t>
            </w:r>
          </w:p>
        </w:tc>
        <w:tc>
          <w:tcPr>
            <w:tcW w:w="193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22.4%</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20.0%</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9.3%</w:t>
            </w:r>
          </w:p>
        </w:tc>
      </w:tr>
      <w:tr>
        <w:trPr>
          <w:trHeight w:val="510" w:hRule="atLeast"/>
        </w:trPr>
        <w:tc>
          <w:tcPr>
            <w:tcW w:w="1260"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rPr>
            </w:pPr>
          </w:p>
        </w:tc>
        <w:tc>
          <w:tcPr>
            <w:tcW w:w="3862"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48.3%</w:t>
            </w:r>
          </w:p>
        </w:tc>
        <w:tc>
          <w:tcPr>
            <w:tcW w:w="193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22.4%</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20.0%</w:t>
            </w:r>
          </w:p>
        </w:tc>
        <w:tc>
          <w:tcPr>
            <w:tcW w:w="119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right"/>
              <w:rPr>
                <w:rFonts w:hint="eastAsia" w:ascii="ＭＳ 明朝" w:hAnsi="ＭＳ 明朝"/>
                <w:sz w:val="24"/>
              </w:rPr>
            </w:pPr>
            <w:r>
              <w:rPr>
                <w:rFonts w:hint="eastAsia" w:ascii="ＭＳ 明朝" w:hAnsi="ＭＳ 明朝"/>
                <w:sz w:val="24"/>
              </w:rPr>
              <w:t>9.3%</w:t>
            </w:r>
          </w:p>
        </w:tc>
      </w:tr>
    </w:tbl>
    <w:p>
      <w:pPr>
        <w:pStyle w:val="0"/>
        <w:rPr>
          <w:rFonts w:hint="eastAsia" w:ascii="ＭＳ ゴシック" w:hAnsi="ＭＳ ゴシック" w:eastAsia="ＭＳ ゴシック"/>
          <w:sz w:val="24"/>
        </w:rPr>
      </w:pPr>
    </w:p>
    <w:p>
      <w:pPr>
        <w:pStyle w:val="0"/>
        <w:ind w:firstLine="240" w:firstLineChars="100"/>
        <w:rPr>
          <w:rFonts w:hint="eastAsia" w:ascii="ＭＳ ゴシック" w:hAnsi="ＭＳ ゴシック" w:eastAsia="ＭＳ ゴシック"/>
          <w:sz w:val="24"/>
        </w:rPr>
      </w:pPr>
      <w:r>
        <w:rPr>
          <w:rFonts w:hint="eastAsia" w:ascii="ＭＳ ゴシック" w:hAnsi="ＭＳ ゴシック" w:eastAsia="ＭＳ ゴシック"/>
          <w:sz w:val="24"/>
        </w:rPr>
        <w:t>「自立し、社会参加をしていると感じている」及び「ある程度自立し、社会参加をしていると感じている」を合わせた割合は</w:t>
      </w:r>
      <w:r>
        <w:rPr>
          <w:rFonts w:hint="eastAsia" w:ascii="ＭＳ ゴシック" w:hAnsi="ＭＳ ゴシック" w:eastAsia="ＭＳ ゴシック"/>
          <w:sz w:val="24"/>
        </w:rPr>
        <w:t>48.3%</w:t>
      </w:r>
      <w:r>
        <w:rPr>
          <w:rFonts w:hint="eastAsia" w:ascii="ＭＳ ゴシック" w:hAnsi="ＭＳ ゴシック" w:eastAsia="ＭＳ ゴシック"/>
          <w:sz w:val="24"/>
        </w:rPr>
        <w:t>と、前回調査結果から</w:t>
      </w:r>
      <w:r>
        <w:rPr>
          <w:rFonts w:hint="eastAsia" w:ascii="ＭＳ ゴシック" w:hAnsi="ＭＳ ゴシック" w:eastAsia="ＭＳ ゴシック"/>
          <w:sz w:val="24"/>
        </w:rPr>
        <w:t>3.0</w:t>
      </w:r>
      <w:r>
        <w:rPr>
          <w:rFonts w:hint="eastAsia" w:ascii="ＭＳ ゴシック" w:hAnsi="ＭＳ ゴシック" w:eastAsia="ＭＳ ゴシック"/>
          <w:sz w:val="24"/>
        </w:rPr>
        <w:t>ポイント減少しています。新型コロナウイルス感染症による外出自粛や、イベント・研修会等の中止などにより、社会参加の機会が減少したことが要因と考えられます。</w:t>
      </w:r>
    </w:p>
    <w:p>
      <w:pPr>
        <w:pStyle w:val="2"/>
        <w:rPr>
          <w:rFonts w:hint="eastAsia"/>
          <w:sz w:val="32"/>
        </w:rPr>
      </w:pPr>
      <w:r>
        <w:rPr>
          <w:rFonts w:hint="eastAsia"/>
          <w:sz w:val="32"/>
        </w:rPr>
        <w:t>資料６　「県政インターネットモニターアンケート」の結果概要</w:t>
      </w:r>
    </w:p>
    <w:p>
      <w:pPr>
        <w:pStyle w:val="18"/>
        <w:rPr>
          <w:rFonts w:hint="eastAsia"/>
        </w:rPr>
      </w:pPr>
    </w:p>
    <w:p>
      <w:pPr>
        <w:pStyle w:val="18"/>
        <w:spacing w:line="300" w:lineRule="exact"/>
        <w:rPr>
          <w:rFonts w:hint="eastAsia" w:ascii="ＭＳ ゴシック" w:hAnsi="ＭＳ ゴシック" w:eastAsia="ＭＳ ゴシック"/>
          <w:sz w:val="24"/>
        </w:rPr>
      </w:pPr>
      <w:r>
        <w:rPr>
          <w:rFonts w:hint="eastAsia" w:ascii="ＭＳ ゴシック" w:hAnsi="ＭＳ ゴシック" w:eastAsia="ＭＳ ゴシック"/>
          <w:sz w:val="24"/>
        </w:rPr>
        <w:t>（要旨）</w:t>
      </w:r>
    </w:p>
    <w:p>
      <w:pPr>
        <w:pStyle w:val="0"/>
        <w:spacing w:line="300" w:lineRule="exact"/>
        <w:rPr>
          <w:rFonts w:hint="eastAsia" w:ascii="ＭＳ 明朝" w:hAnsi="ＭＳ 明朝"/>
          <w:kern w:val="0"/>
          <w:sz w:val="24"/>
        </w:rPr>
      </w:pPr>
      <w:r>
        <w:rPr>
          <w:rFonts w:hint="eastAsia"/>
          <w:sz w:val="24"/>
        </w:rPr>
        <w:t>　</w:t>
      </w:r>
      <w:r>
        <w:rPr>
          <w:rFonts w:hint="eastAsia"/>
          <w:kern w:val="0"/>
          <w:sz w:val="24"/>
        </w:rPr>
        <w:t>令和２年</w:t>
      </w:r>
      <w:r>
        <w:rPr>
          <w:rFonts w:hint="eastAsia"/>
          <w:kern w:val="0"/>
          <w:sz w:val="24"/>
        </w:rPr>
        <w:t>10</w:t>
      </w:r>
      <w:r>
        <w:rPr>
          <w:rFonts w:hint="eastAsia"/>
          <w:kern w:val="0"/>
          <w:sz w:val="24"/>
        </w:rPr>
        <w:t>月</w:t>
      </w:r>
      <w:r>
        <w:rPr>
          <w:rFonts w:hint="eastAsia" w:ascii="ＭＳ 明朝" w:hAnsi="ＭＳ 明朝"/>
          <w:kern w:val="0"/>
          <w:sz w:val="24"/>
        </w:rPr>
        <w:t>に、障害を理由とする差別の解消の推進等に関する「県政インターネットモニターアンケート」を実施した（対象者数</w:t>
      </w:r>
      <w:r>
        <w:rPr>
          <w:rFonts w:hint="eastAsia" w:ascii="ＭＳ 明朝" w:hAnsi="ＭＳ 明朝"/>
          <w:kern w:val="0"/>
          <w:sz w:val="24"/>
        </w:rPr>
        <w:t>609</w:t>
      </w:r>
      <w:r>
        <w:rPr>
          <w:rFonts w:hint="eastAsia" w:ascii="ＭＳ 明朝" w:hAnsi="ＭＳ 明朝"/>
          <w:kern w:val="0"/>
          <w:sz w:val="24"/>
        </w:rPr>
        <w:t>人。回答者</w:t>
      </w:r>
      <w:r>
        <w:rPr>
          <w:rFonts w:hint="eastAsia" w:ascii="ＭＳ 明朝" w:hAnsi="ＭＳ 明朝"/>
          <w:kern w:val="0"/>
          <w:sz w:val="24"/>
        </w:rPr>
        <w:t>536</w:t>
      </w:r>
      <w:r>
        <w:rPr>
          <w:rFonts w:hint="eastAsia" w:ascii="ＭＳ 明朝" w:hAnsi="ＭＳ 明朝"/>
          <w:kern w:val="0"/>
          <w:sz w:val="24"/>
        </w:rPr>
        <w:t>人。回答率</w:t>
      </w:r>
      <w:r>
        <w:rPr>
          <w:rFonts w:hint="eastAsia" w:ascii="ＭＳ 明朝" w:hAnsi="ＭＳ 明朝"/>
          <w:kern w:val="0"/>
          <w:sz w:val="24"/>
        </w:rPr>
        <w:t>88.0</w:t>
      </w:r>
      <w:r>
        <w:rPr>
          <w:rFonts w:hint="eastAsia" w:ascii="ＭＳ 明朝" w:hAnsi="ＭＳ 明朝"/>
          <w:kern w:val="0"/>
          <w:sz w:val="24"/>
        </w:rPr>
        <w:t>％）。</w:t>
      </w:r>
    </w:p>
    <w:p>
      <w:pPr>
        <w:pStyle w:val="0"/>
        <w:spacing w:line="300" w:lineRule="exact"/>
        <w:rPr>
          <w:rFonts w:hint="eastAsia"/>
          <w:sz w:val="24"/>
        </w:rPr>
      </w:pPr>
    </w:p>
    <w:p>
      <w:pPr>
        <w:pStyle w:val="0"/>
        <w:spacing w:line="300" w:lineRule="exact"/>
        <w:rPr>
          <w:rFonts w:hint="eastAsia" w:ascii="ＭＳ ゴシック" w:hAnsi="ＭＳ ゴシック" w:eastAsia="ＭＳ ゴシック"/>
          <w:sz w:val="24"/>
        </w:rPr>
      </w:pPr>
      <w:r>
        <w:rPr>
          <w:rFonts w:hint="eastAsia" w:ascii="ＭＳ ゴシック" w:hAnsi="ＭＳ ゴシック" w:eastAsia="ＭＳ ゴシック"/>
          <w:sz w:val="24"/>
        </w:rPr>
        <w:t>（概要）</w:t>
      </w:r>
    </w:p>
    <w:p>
      <w:pPr>
        <w:pStyle w:val="0"/>
        <w:adjustRightInd w:val="0"/>
        <w:spacing w:line="300" w:lineRule="exact"/>
        <w:ind w:left="241" w:hanging="241"/>
        <w:rPr>
          <w:rFonts w:hint="eastAsia" w:ascii="ＭＳ ゴシック" w:hAnsi="ＭＳ ゴシック" w:eastAsia="ＭＳ ゴシック"/>
          <w:kern w:val="0"/>
          <w:sz w:val="24"/>
        </w:rPr>
      </w:pPr>
      <w:r>
        <w:rPr>
          <w:rFonts w:hint="eastAsia" w:ascii="ＭＳ ゴシック" w:hAnsi="ＭＳ ゴシック" w:eastAsia="ＭＳ ゴシック"/>
          <w:kern w:val="0"/>
          <w:sz w:val="24"/>
        </w:rPr>
        <w:t>○</w:t>
      </w:r>
      <w:r>
        <w:rPr>
          <w:rFonts w:hint="eastAsia" w:ascii="ＭＳ ゴシック" w:hAnsi="ＭＳ ゴシック" w:eastAsia="ＭＳ ゴシック"/>
          <w:kern w:val="0"/>
          <w:sz w:val="24"/>
        </w:rPr>
        <w:t xml:space="preserve"> </w:t>
      </w:r>
      <w:r>
        <w:rPr>
          <w:rFonts w:hint="eastAsia" w:ascii="ＭＳ ゴシック" w:hAnsi="ＭＳ ゴシック" w:eastAsia="ＭＳ ゴシック"/>
          <w:kern w:val="0"/>
          <w:sz w:val="24"/>
        </w:rPr>
        <w:t>「障害者差別解消法」を聞いたことがある人の割合は昨年度から</w:t>
      </w:r>
      <w:r>
        <w:rPr>
          <w:rFonts w:hint="eastAsia" w:ascii="ＭＳ ゴシック" w:hAnsi="ＭＳ ゴシック" w:eastAsia="ＭＳ ゴシック"/>
          <w:kern w:val="0"/>
          <w:sz w:val="24"/>
        </w:rPr>
        <w:t>8.1</w:t>
      </w:r>
      <w:r>
        <w:rPr>
          <w:rFonts w:hint="eastAsia" w:ascii="ＭＳ ゴシック" w:hAnsi="ＭＳ ゴシック" w:eastAsia="ＭＳ ゴシック"/>
          <w:kern w:val="0"/>
          <w:sz w:val="24"/>
        </w:rPr>
        <w:t>％増加し、半数を超えた。「障害者差別解消条例」を聞いたことがある人の割合も</w:t>
      </w:r>
      <w:r>
        <w:rPr>
          <w:rFonts w:hint="eastAsia" w:ascii="ＭＳ ゴシック" w:hAnsi="ＭＳ ゴシック" w:eastAsia="ＭＳ ゴシック"/>
          <w:kern w:val="0"/>
          <w:sz w:val="24"/>
        </w:rPr>
        <w:t>9.1</w:t>
      </w:r>
      <w:r>
        <w:rPr>
          <w:rFonts w:hint="eastAsia" w:ascii="ＭＳ ゴシック" w:hAnsi="ＭＳ ゴシック" w:eastAsia="ＭＳ ゴシック"/>
          <w:kern w:val="0"/>
          <w:sz w:val="24"/>
        </w:rPr>
        <w:t>％増加した。</w:t>
      </w:r>
    </w:p>
    <w:tbl>
      <w:tblPr>
        <w:tblStyle w:val="11"/>
        <w:tblW w:w="965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1" w:lastRow="1" w:firstColumn="1" w:lastColumn="1" w:noHBand="0" w:noVBand="0" w:val="01E0"/>
      </w:tblPr>
      <w:tblGrid>
        <w:gridCol w:w="4866"/>
        <w:gridCol w:w="957"/>
        <w:gridCol w:w="957"/>
        <w:gridCol w:w="957"/>
        <w:gridCol w:w="957"/>
        <w:gridCol w:w="961"/>
      </w:tblGrid>
      <w:tr>
        <w:trPr/>
        <w:tc>
          <w:tcPr>
            <w:tcW w:w="494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kern w:val="0"/>
                <w:sz w:val="24"/>
              </w:rPr>
            </w:pPr>
            <w:r>
              <w:rPr>
                <w:rFonts w:hint="eastAsia"/>
                <w:kern w:val="0"/>
                <w:sz w:val="24"/>
              </w:rPr>
              <w:t>項　　目</w:t>
            </w:r>
          </w:p>
        </w:tc>
        <w:tc>
          <w:tcPr>
            <w:tcW w:w="9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H28</w:t>
            </w:r>
          </w:p>
        </w:tc>
        <w:tc>
          <w:tcPr>
            <w:tcW w:w="9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H29</w:t>
            </w:r>
          </w:p>
        </w:tc>
        <w:tc>
          <w:tcPr>
            <w:tcW w:w="9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H30</w:t>
            </w:r>
          </w:p>
        </w:tc>
        <w:tc>
          <w:tcPr>
            <w:tcW w:w="969" w:type="dxa"/>
            <w:tcBorders>
              <w:top w:val="single" w:color="auto" w:sz="4" w:space="0"/>
              <w:left w:val="single" w:color="auto" w:sz="4" w:space="0"/>
              <w:bottom w:val="single"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R</w:t>
            </w:r>
            <w:r>
              <w:rPr>
                <w:rFonts w:hint="eastAsia" w:ascii="ＭＳ 明朝" w:hAnsi="ＭＳ 明朝"/>
                <w:kern w:val="0"/>
                <w:sz w:val="24"/>
              </w:rPr>
              <w:t>元</w:t>
            </w:r>
          </w:p>
        </w:tc>
        <w:tc>
          <w:tcPr>
            <w:tcW w:w="973" w:type="dxa"/>
            <w:tcBorders>
              <w:top w:val="double" w:color="auto" w:sz="4" w:space="0"/>
              <w:left w:val="double" w:color="auto" w:sz="4" w:space="0"/>
              <w:bottom w:val="single"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明朝" w:hAnsi="ＭＳ 明朝"/>
                <w:b w:val="1"/>
                <w:sz w:val="24"/>
              </w:rPr>
              <w:t>R</w:t>
            </w:r>
            <w:r>
              <w:rPr>
                <w:rFonts w:hint="eastAsia" w:ascii="ＭＳ 明朝" w:hAnsi="ＭＳ 明朝"/>
                <w:b w:val="1"/>
                <w:sz w:val="24"/>
              </w:rPr>
              <w:t>２</w:t>
            </w:r>
          </w:p>
        </w:tc>
      </w:tr>
      <w:tr>
        <w:trPr>
          <w:trHeight w:val="390" w:hRule="atLeast"/>
        </w:trPr>
        <w:tc>
          <w:tcPr>
            <w:tcW w:w="494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rPr>
                <w:rFonts w:hint="eastAsia"/>
                <w:kern w:val="0"/>
                <w:sz w:val="24"/>
              </w:rPr>
            </w:pPr>
            <w:r>
              <w:rPr>
                <w:rFonts w:hint="eastAsia"/>
                <w:kern w:val="0"/>
                <w:sz w:val="24"/>
              </w:rPr>
              <w:t>「障害者差別解消法」を聞いたことがある</w:t>
            </w:r>
          </w:p>
        </w:tc>
        <w:tc>
          <w:tcPr>
            <w:tcW w:w="9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34.6</w:t>
            </w:r>
            <w:r>
              <w:rPr>
                <w:rFonts w:hint="eastAsia" w:ascii="ＭＳ 明朝" w:hAnsi="ＭＳ 明朝"/>
                <w:kern w:val="0"/>
                <w:sz w:val="24"/>
              </w:rPr>
              <w:t>％</w:t>
            </w:r>
          </w:p>
        </w:tc>
        <w:tc>
          <w:tcPr>
            <w:tcW w:w="9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43.4</w:t>
            </w:r>
            <w:r>
              <w:rPr>
                <w:rFonts w:hint="eastAsia" w:ascii="ＭＳ 明朝" w:hAnsi="ＭＳ 明朝"/>
                <w:kern w:val="0"/>
                <w:sz w:val="24"/>
              </w:rPr>
              <w:t>％</w:t>
            </w:r>
          </w:p>
        </w:tc>
        <w:tc>
          <w:tcPr>
            <w:tcW w:w="9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44.2</w:t>
            </w:r>
            <w:r>
              <w:rPr>
                <w:rFonts w:hint="eastAsia" w:ascii="ＭＳ 明朝" w:hAnsi="ＭＳ 明朝"/>
                <w:kern w:val="0"/>
                <w:sz w:val="24"/>
              </w:rPr>
              <w:t>％</w:t>
            </w:r>
          </w:p>
        </w:tc>
        <w:tc>
          <w:tcPr>
            <w:tcW w:w="969" w:type="dxa"/>
            <w:tcBorders>
              <w:top w:val="single" w:color="auto" w:sz="4" w:space="0"/>
              <w:left w:val="single" w:color="auto" w:sz="4" w:space="0"/>
              <w:bottom w:val="single"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47.5</w:t>
            </w:r>
            <w:r>
              <w:rPr>
                <w:rFonts w:hint="eastAsia" w:ascii="ＭＳ 明朝" w:hAnsi="ＭＳ 明朝"/>
                <w:kern w:val="0"/>
                <w:sz w:val="24"/>
              </w:rPr>
              <w:t>％</w:t>
            </w:r>
          </w:p>
        </w:tc>
        <w:tc>
          <w:tcPr>
            <w:tcW w:w="973" w:type="dxa"/>
            <w:tcBorders>
              <w:top w:val="single" w:color="auto" w:sz="4" w:space="0"/>
              <w:left w:val="double" w:color="auto" w:sz="4" w:space="0"/>
              <w:bottom w:val="single"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55.6</w:t>
            </w:r>
            <w:r>
              <w:rPr>
                <w:rFonts w:hint="eastAsia" w:ascii="ＭＳ ゴシック" w:hAnsi="ＭＳ ゴシック" w:eastAsia="ＭＳ ゴシック"/>
                <w:b w:val="1"/>
                <w:sz w:val="24"/>
              </w:rPr>
              <w:t>％</w:t>
            </w:r>
          </w:p>
        </w:tc>
      </w:tr>
      <w:tr>
        <w:trPr>
          <w:trHeight w:val="390" w:hRule="atLeast"/>
        </w:trPr>
        <w:tc>
          <w:tcPr>
            <w:tcW w:w="494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rPr>
                <w:rFonts w:hint="eastAsia"/>
                <w:kern w:val="0"/>
                <w:sz w:val="24"/>
              </w:rPr>
            </w:pPr>
            <w:r>
              <w:rPr>
                <w:rFonts w:hint="eastAsia"/>
                <w:kern w:val="0"/>
                <w:sz w:val="24"/>
              </w:rPr>
              <w:t>「障害者差別解消条例」を聞いたことがある</w:t>
            </w:r>
          </w:p>
        </w:tc>
        <w:tc>
          <w:tcPr>
            <w:tcW w:w="9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w:t>
            </w:r>
          </w:p>
        </w:tc>
        <w:tc>
          <w:tcPr>
            <w:tcW w:w="9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25.5</w:t>
            </w:r>
            <w:r>
              <w:rPr>
                <w:rFonts w:hint="eastAsia" w:ascii="ＭＳ 明朝" w:hAnsi="ＭＳ 明朝"/>
                <w:kern w:val="0"/>
                <w:sz w:val="24"/>
              </w:rPr>
              <w:t>％</w:t>
            </w:r>
          </w:p>
        </w:tc>
        <w:tc>
          <w:tcPr>
            <w:tcW w:w="96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27.9</w:t>
            </w:r>
            <w:r>
              <w:rPr>
                <w:rFonts w:hint="eastAsia" w:ascii="ＭＳ 明朝" w:hAnsi="ＭＳ 明朝"/>
                <w:kern w:val="0"/>
                <w:sz w:val="24"/>
              </w:rPr>
              <w:t>％</w:t>
            </w:r>
          </w:p>
        </w:tc>
        <w:tc>
          <w:tcPr>
            <w:tcW w:w="969" w:type="dxa"/>
            <w:tcBorders>
              <w:top w:val="single" w:color="auto" w:sz="4" w:space="0"/>
              <w:left w:val="single" w:color="auto" w:sz="4" w:space="0"/>
              <w:bottom w:val="single"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27.5</w:t>
            </w:r>
            <w:r>
              <w:rPr>
                <w:rFonts w:hint="eastAsia" w:ascii="ＭＳ 明朝" w:hAnsi="ＭＳ 明朝"/>
                <w:kern w:val="0"/>
                <w:sz w:val="24"/>
              </w:rPr>
              <w:t>％</w:t>
            </w:r>
          </w:p>
        </w:tc>
        <w:tc>
          <w:tcPr>
            <w:tcW w:w="973" w:type="dxa"/>
            <w:tcBorders>
              <w:top w:val="single" w:color="auto" w:sz="4" w:space="0"/>
              <w:left w:val="double" w:color="auto" w:sz="4" w:space="0"/>
              <w:bottom w:val="double"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36.6</w:t>
            </w:r>
            <w:r>
              <w:rPr>
                <w:rFonts w:hint="eastAsia" w:ascii="ＭＳ ゴシック" w:hAnsi="ＭＳ ゴシック" w:eastAsia="ＭＳ ゴシック"/>
                <w:b w:val="1"/>
                <w:sz w:val="24"/>
              </w:rPr>
              <w:t>％</w:t>
            </w:r>
          </w:p>
        </w:tc>
      </w:tr>
    </w:tbl>
    <w:p>
      <w:pPr>
        <w:pStyle w:val="0"/>
        <w:adjustRightInd w:val="0"/>
        <w:spacing w:line="280" w:lineRule="exact"/>
        <w:ind w:left="480" w:hanging="480"/>
        <w:rPr>
          <w:rFonts w:hint="eastAsia"/>
          <w:kern w:val="0"/>
          <w:sz w:val="24"/>
        </w:rPr>
      </w:pPr>
    </w:p>
    <w:p>
      <w:pPr>
        <w:pStyle w:val="0"/>
        <w:adjustRightInd w:val="0"/>
        <w:spacing w:line="300" w:lineRule="exact"/>
        <w:ind w:left="241" w:hanging="241"/>
        <w:rPr>
          <w:rFonts w:hint="eastAsia" w:ascii="ＭＳ ゴシック" w:hAnsi="ＭＳ ゴシック" w:eastAsia="ＭＳ ゴシック"/>
          <w:kern w:val="0"/>
          <w:sz w:val="24"/>
        </w:rPr>
      </w:pPr>
      <w:r>
        <w:rPr>
          <w:rFonts w:hint="eastAsia" w:ascii="ＭＳ ゴシック" w:hAnsi="ＭＳ ゴシック" w:eastAsia="ＭＳ ゴシック"/>
          <w:kern w:val="0"/>
          <w:sz w:val="24"/>
        </w:rPr>
        <w:t>○</w:t>
      </w:r>
      <w:r>
        <w:rPr>
          <w:rFonts w:hint="eastAsia" w:ascii="ＭＳ ゴシック" w:hAnsi="ＭＳ ゴシック" w:eastAsia="ＭＳ ゴシック"/>
          <w:kern w:val="0"/>
          <w:sz w:val="24"/>
        </w:rPr>
        <w:t xml:space="preserve"> </w:t>
      </w:r>
      <w:r>
        <w:rPr>
          <w:rFonts w:hint="eastAsia" w:ascii="ＭＳ ゴシック" w:hAnsi="ＭＳ ゴシック" w:eastAsia="ＭＳ ゴシック"/>
          <w:kern w:val="0"/>
          <w:sz w:val="24"/>
        </w:rPr>
        <w:t>「合理的配慮</w:t>
      </w:r>
      <w:r>
        <w:rPr>
          <w:rFonts w:hint="eastAsia"/>
          <w:color w:val="000000" w:themeColor="text1"/>
          <w:spacing w:val="-4"/>
          <w:kern w:val="0"/>
          <w:vertAlign w:val="superscript"/>
        </w:rPr>
        <w:t>＊</w:t>
      </w:r>
      <w:r>
        <w:rPr>
          <w:rFonts w:hint="eastAsia" w:ascii="ＭＳ ゴシック" w:hAnsi="ＭＳ ゴシック" w:eastAsia="ＭＳ ゴシック"/>
          <w:kern w:val="0"/>
          <w:sz w:val="24"/>
        </w:rPr>
        <w:t>」の考え方を知っている人の割合は昨年度から</w:t>
      </w:r>
      <w:r>
        <w:rPr>
          <w:rFonts w:hint="eastAsia" w:ascii="ＭＳ ゴシック" w:hAnsi="ＭＳ ゴシック" w:eastAsia="ＭＳ ゴシック"/>
          <w:kern w:val="0"/>
          <w:sz w:val="24"/>
        </w:rPr>
        <w:t>3.6</w:t>
      </w:r>
      <w:r>
        <w:rPr>
          <w:rFonts w:hint="eastAsia" w:ascii="ＭＳ ゴシック" w:hAnsi="ＭＳ ゴシック" w:eastAsia="ＭＳ ゴシック"/>
          <w:kern w:val="0"/>
          <w:sz w:val="24"/>
        </w:rPr>
        <w:t>％、聞いたことがある人は、</w:t>
      </w:r>
      <w:r>
        <w:rPr>
          <w:rFonts w:hint="eastAsia" w:ascii="ＭＳ ゴシック" w:hAnsi="ＭＳ ゴシック" w:eastAsia="ＭＳ ゴシック"/>
          <w:kern w:val="0"/>
          <w:sz w:val="24"/>
        </w:rPr>
        <w:t>6.2</w:t>
      </w:r>
      <w:r>
        <w:rPr>
          <w:rFonts w:hint="eastAsia" w:ascii="ＭＳ ゴシック" w:hAnsi="ＭＳ ゴシック" w:eastAsia="ＭＳ ゴシック"/>
          <w:kern w:val="0"/>
          <w:sz w:val="24"/>
        </w:rPr>
        <w:t>％増加した。</w:t>
      </w:r>
    </w:p>
    <w:tbl>
      <w:tblPr>
        <w:tblStyle w:val="11"/>
        <w:tblW w:w="965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1" w:lastRow="1" w:firstColumn="1" w:lastColumn="1" w:noHBand="0" w:noVBand="0" w:val="01E0"/>
      </w:tblPr>
      <w:tblGrid>
        <w:gridCol w:w="4785"/>
        <w:gridCol w:w="974"/>
        <w:gridCol w:w="973"/>
        <w:gridCol w:w="973"/>
        <w:gridCol w:w="973"/>
        <w:gridCol w:w="977"/>
      </w:tblGrid>
      <w:tr>
        <w:trPr/>
        <w:tc>
          <w:tcPr>
            <w:tcW w:w="486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kern w:val="0"/>
                <w:sz w:val="24"/>
              </w:rPr>
            </w:pPr>
            <w:r>
              <w:rPr>
                <w:rFonts w:hint="eastAsia"/>
                <w:kern w:val="0"/>
                <w:sz w:val="24"/>
              </w:rPr>
              <w:t>項　　目</w:t>
            </w:r>
          </w:p>
        </w:tc>
        <w:tc>
          <w:tcPr>
            <w:tcW w:w="9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H28</w:t>
            </w:r>
          </w:p>
        </w:tc>
        <w:tc>
          <w:tcPr>
            <w:tcW w:w="9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H29</w:t>
            </w:r>
          </w:p>
        </w:tc>
        <w:tc>
          <w:tcPr>
            <w:tcW w:w="9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H30</w:t>
            </w:r>
          </w:p>
        </w:tc>
        <w:tc>
          <w:tcPr>
            <w:tcW w:w="986" w:type="dxa"/>
            <w:tcBorders>
              <w:top w:val="single" w:color="auto" w:sz="4" w:space="0"/>
              <w:left w:val="single" w:color="auto" w:sz="4" w:space="0"/>
              <w:bottom w:val="single"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R</w:t>
            </w:r>
            <w:r>
              <w:rPr>
                <w:rFonts w:hint="eastAsia" w:ascii="ＭＳ 明朝" w:hAnsi="ＭＳ 明朝"/>
                <w:kern w:val="0"/>
                <w:sz w:val="24"/>
              </w:rPr>
              <w:t>元</w:t>
            </w:r>
          </w:p>
        </w:tc>
        <w:tc>
          <w:tcPr>
            <w:tcW w:w="990" w:type="dxa"/>
            <w:tcBorders>
              <w:top w:val="double" w:color="auto" w:sz="4" w:space="0"/>
              <w:left w:val="double" w:color="auto" w:sz="4" w:space="0"/>
              <w:bottom w:val="single" w:color="auto" w:sz="4" w:space="0"/>
              <w:right w:val="double" w:color="auto" w:sz="4" w:space="0"/>
              <w:tl2br w:val="nil"/>
              <w:tr2bl w:val="nil"/>
            </w:tcBorders>
            <w:shd w:val="clear" w:color="auto" w:fill="auto"/>
            <w:vAlign w:val="center"/>
          </w:tcPr>
          <w:p>
            <w:pPr>
              <w:pStyle w:val="0"/>
              <w:jc w:val="center"/>
              <w:rPr>
                <w:rFonts w:hint="eastAsia"/>
              </w:rPr>
            </w:pPr>
            <w:r>
              <w:rPr>
                <w:rFonts w:hint="eastAsia" w:ascii="ＭＳ 明朝" w:hAnsi="ＭＳ 明朝"/>
                <w:b w:val="1"/>
                <w:sz w:val="24"/>
              </w:rPr>
              <w:t>R</w:t>
            </w:r>
            <w:r>
              <w:rPr>
                <w:rFonts w:hint="eastAsia" w:ascii="ＭＳ 明朝" w:hAnsi="ＭＳ 明朝"/>
                <w:b w:val="1"/>
                <w:sz w:val="24"/>
              </w:rPr>
              <w:t>２</w:t>
            </w:r>
          </w:p>
        </w:tc>
      </w:tr>
      <w:tr>
        <w:trPr>
          <w:trHeight w:val="420" w:hRule="atLeast"/>
        </w:trPr>
        <w:tc>
          <w:tcPr>
            <w:tcW w:w="486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rPr>
                <w:rFonts w:hint="eastAsia"/>
                <w:kern w:val="0"/>
                <w:sz w:val="24"/>
              </w:rPr>
            </w:pPr>
            <w:r>
              <w:rPr>
                <w:rFonts w:hint="eastAsia"/>
                <w:kern w:val="0"/>
                <w:sz w:val="24"/>
              </w:rPr>
              <w:t>「合理的配慮」の考え方を知っている。</w:t>
            </w:r>
          </w:p>
        </w:tc>
        <w:tc>
          <w:tcPr>
            <w:tcW w:w="9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13.5</w:t>
            </w:r>
            <w:r>
              <w:rPr>
                <w:rFonts w:hint="eastAsia" w:ascii="ＭＳ 明朝" w:hAnsi="ＭＳ 明朝"/>
                <w:kern w:val="0"/>
                <w:sz w:val="24"/>
              </w:rPr>
              <w:t>％</w:t>
            </w:r>
          </w:p>
        </w:tc>
        <w:tc>
          <w:tcPr>
            <w:tcW w:w="9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14.7</w:t>
            </w:r>
            <w:r>
              <w:rPr>
                <w:rFonts w:hint="eastAsia" w:ascii="ＭＳ 明朝" w:hAnsi="ＭＳ 明朝"/>
                <w:kern w:val="0"/>
                <w:sz w:val="24"/>
              </w:rPr>
              <w:t>％</w:t>
            </w:r>
          </w:p>
        </w:tc>
        <w:tc>
          <w:tcPr>
            <w:tcW w:w="9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17.2</w:t>
            </w:r>
            <w:r>
              <w:rPr>
                <w:rFonts w:hint="eastAsia" w:ascii="ＭＳ 明朝" w:hAnsi="ＭＳ 明朝"/>
                <w:kern w:val="0"/>
                <w:sz w:val="24"/>
              </w:rPr>
              <w:t>％</w:t>
            </w:r>
          </w:p>
        </w:tc>
        <w:tc>
          <w:tcPr>
            <w:tcW w:w="986" w:type="dxa"/>
            <w:tcBorders>
              <w:top w:val="single" w:color="auto" w:sz="4" w:space="0"/>
              <w:left w:val="single" w:color="auto" w:sz="4" w:space="0"/>
              <w:bottom w:val="single"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19.9</w:t>
            </w:r>
            <w:r>
              <w:rPr>
                <w:rFonts w:hint="eastAsia" w:ascii="ＭＳ 明朝" w:hAnsi="ＭＳ 明朝"/>
                <w:kern w:val="0"/>
                <w:sz w:val="24"/>
              </w:rPr>
              <w:t>％</w:t>
            </w:r>
          </w:p>
        </w:tc>
        <w:tc>
          <w:tcPr>
            <w:tcW w:w="990" w:type="dxa"/>
            <w:tcBorders>
              <w:top w:val="single" w:color="auto" w:sz="4" w:space="0"/>
              <w:left w:val="double" w:color="auto" w:sz="4" w:space="0"/>
              <w:bottom w:val="single"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23.5</w:t>
            </w:r>
            <w:r>
              <w:rPr>
                <w:rFonts w:hint="eastAsia" w:ascii="ＭＳ ゴシック" w:hAnsi="ＭＳ ゴシック" w:eastAsia="ＭＳ ゴシック"/>
                <w:b w:val="1"/>
                <w:sz w:val="24"/>
              </w:rPr>
              <w:t>％</w:t>
            </w:r>
          </w:p>
        </w:tc>
      </w:tr>
      <w:tr>
        <w:trPr>
          <w:trHeight w:val="420" w:hRule="atLeast"/>
        </w:trPr>
        <w:tc>
          <w:tcPr>
            <w:tcW w:w="486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rPr>
                <w:rFonts w:hint="eastAsia"/>
                <w:kern w:val="0"/>
                <w:sz w:val="24"/>
              </w:rPr>
            </w:pPr>
            <w:r>
              <w:rPr>
                <w:rFonts w:hint="eastAsia"/>
                <w:kern w:val="0"/>
                <w:sz w:val="24"/>
              </w:rPr>
              <w:t>「合理的配慮」を聞いたことがある</w:t>
            </w:r>
          </w:p>
        </w:tc>
        <w:tc>
          <w:tcPr>
            <w:tcW w:w="9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25.3</w:t>
            </w:r>
            <w:r>
              <w:rPr>
                <w:rFonts w:hint="eastAsia" w:ascii="ＭＳ 明朝" w:hAnsi="ＭＳ 明朝"/>
                <w:kern w:val="0"/>
                <w:sz w:val="24"/>
              </w:rPr>
              <w:t>％</w:t>
            </w:r>
          </w:p>
        </w:tc>
        <w:tc>
          <w:tcPr>
            <w:tcW w:w="9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24.9</w:t>
            </w:r>
            <w:r>
              <w:rPr>
                <w:rFonts w:hint="eastAsia" w:ascii="ＭＳ 明朝" w:hAnsi="ＭＳ 明朝"/>
                <w:kern w:val="0"/>
                <w:sz w:val="24"/>
              </w:rPr>
              <w:t>％</w:t>
            </w:r>
          </w:p>
        </w:tc>
        <w:tc>
          <w:tcPr>
            <w:tcW w:w="9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26.3</w:t>
            </w:r>
            <w:r>
              <w:rPr>
                <w:rFonts w:hint="eastAsia" w:ascii="ＭＳ 明朝" w:hAnsi="ＭＳ 明朝"/>
                <w:kern w:val="0"/>
                <w:sz w:val="24"/>
              </w:rPr>
              <w:t>％</w:t>
            </w:r>
          </w:p>
        </w:tc>
        <w:tc>
          <w:tcPr>
            <w:tcW w:w="986" w:type="dxa"/>
            <w:tcBorders>
              <w:top w:val="single" w:color="auto" w:sz="4" w:space="0"/>
              <w:left w:val="single" w:color="auto" w:sz="4" w:space="0"/>
              <w:bottom w:val="single"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26.1</w:t>
            </w:r>
            <w:r>
              <w:rPr>
                <w:rFonts w:hint="eastAsia" w:ascii="ＭＳ 明朝" w:hAnsi="ＭＳ 明朝"/>
                <w:kern w:val="0"/>
                <w:sz w:val="24"/>
              </w:rPr>
              <w:t>％</w:t>
            </w:r>
          </w:p>
        </w:tc>
        <w:tc>
          <w:tcPr>
            <w:tcW w:w="990" w:type="dxa"/>
            <w:tcBorders>
              <w:top w:val="single" w:color="auto" w:sz="4" w:space="0"/>
              <w:left w:val="double" w:color="auto" w:sz="4" w:space="0"/>
              <w:bottom w:val="double"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32.3</w:t>
            </w:r>
            <w:r>
              <w:rPr>
                <w:rFonts w:hint="eastAsia" w:ascii="ＭＳ ゴシック" w:hAnsi="ＭＳ ゴシック" w:eastAsia="ＭＳ ゴシック"/>
                <w:b w:val="1"/>
                <w:sz w:val="24"/>
              </w:rPr>
              <w:t>％</w:t>
            </w:r>
          </w:p>
        </w:tc>
      </w:tr>
    </w:tbl>
    <w:p>
      <w:pPr>
        <w:pStyle w:val="0"/>
        <w:adjustRightInd w:val="0"/>
        <w:spacing w:line="280" w:lineRule="exact"/>
        <w:ind w:left="480" w:hanging="480"/>
        <w:rPr>
          <w:rFonts w:hint="eastAsia"/>
          <w:kern w:val="0"/>
          <w:sz w:val="24"/>
        </w:rPr>
      </w:pPr>
    </w:p>
    <w:p>
      <w:pPr>
        <w:pStyle w:val="0"/>
        <w:adjustRightInd w:val="0"/>
        <w:spacing w:line="300" w:lineRule="exact"/>
        <w:ind w:left="241" w:hanging="241"/>
        <w:rPr>
          <w:rFonts w:hint="default" w:ascii="ＭＳ ゴシック" w:hAnsi="ＭＳ ゴシック" w:eastAsia="ＭＳ ゴシック"/>
          <w:kern w:val="0"/>
          <w:sz w:val="24"/>
        </w:rPr>
      </w:pPr>
      <w:r>
        <w:rPr>
          <w:rFonts w:hint="eastAsia" w:ascii="ＭＳ ゴシック" w:hAnsi="ＭＳ ゴシック" w:eastAsia="ＭＳ ゴシック"/>
          <w:kern w:val="0"/>
          <w:sz w:val="24"/>
        </w:rPr>
        <w:t>○</w:t>
      </w:r>
      <w:r>
        <w:rPr>
          <w:rFonts w:hint="eastAsia" w:ascii="ＭＳ ゴシック" w:hAnsi="ＭＳ ゴシック" w:eastAsia="ＭＳ ゴシック"/>
          <w:kern w:val="0"/>
          <w:sz w:val="24"/>
        </w:rPr>
        <w:t xml:space="preserve"> </w:t>
      </w:r>
      <w:r>
        <w:rPr>
          <w:rFonts w:hint="eastAsia" w:ascii="ＭＳ ゴシック" w:hAnsi="ＭＳ ゴシック" w:eastAsia="ＭＳ ゴシック"/>
          <w:kern w:val="0"/>
          <w:sz w:val="24"/>
        </w:rPr>
        <w:t>障害のある人への差別を感じたり、見たり、聞いたりしたことがある人の割合は依然２割を超えており、差別かどうか分からないが、いやな気持ちになったことがある人の割合は約３割で推移している。</w:t>
      </w:r>
    </w:p>
    <w:tbl>
      <w:tblPr>
        <w:tblStyle w:val="11"/>
        <w:tblW w:w="9645" w:type="dxa"/>
        <w:tblInd w:w="11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1" w:lastRow="1" w:firstColumn="1" w:lastColumn="1" w:noHBand="0" w:noVBand="0" w:val="01E0"/>
      </w:tblPr>
      <w:tblGrid>
        <w:gridCol w:w="4705"/>
        <w:gridCol w:w="988"/>
        <w:gridCol w:w="987"/>
        <w:gridCol w:w="987"/>
        <w:gridCol w:w="987"/>
        <w:gridCol w:w="991"/>
      </w:tblGrid>
      <w:tr>
        <w:trPr/>
        <w:tc>
          <w:tcPr>
            <w:tcW w:w="473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kern w:val="0"/>
                <w:sz w:val="24"/>
              </w:rPr>
            </w:pPr>
            <w:r>
              <w:rPr>
                <w:rFonts w:hint="eastAsia"/>
                <w:kern w:val="0"/>
                <w:sz w:val="24"/>
              </w:rPr>
              <w:t>項　　目</w:t>
            </w:r>
          </w:p>
        </w:tc>
        <w:tc>
          <w:tcPr>
            <w:tcW w:w="9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H28</w:t>
            </w:r>
          </w:p>
        </w:tc>
        <w:tc>
          <w:tcPr>
            <w:tcW w:w="9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H29</w:t>
            </w:r>
          </w:p>
        </w:tc>
        <w:tc>
          <w:tcPr>
            <w:tcW w:w="9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H30</w:t>
            </w:r>
          </w:p>
        </w:tc>
        <w:tc>
          <w:tcPr>
            <w:tcW w:w="992" w:type="dxa"/>
            <w:tcBorders>
              <w:top w:val="single" w:color="auto" w:sz="4" w:space="0"/>
              <w:left w:val="single" w:color="auto" w:sz="4" w:space="0"/>
              <w:bottom w:val="single"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R</w:t>
            </w:r>
            <w:r>
              <w:rPr>
                <w:rFonts w:hint="eastAsia" w:ascii="ＭＳ 明朝" w:hAnsi="ＭＳ 明朝"/>
                <w:kern w:val="0"/>
                <w:sz w:val="24"/>
              </w:rPr>
              <w:t>元</w:t>
            </w:r>
          </w:p>
        </w:tc>
        <w:tc>
          <w:tcPr>
            <w:tcW w:w="996" w:type="dxa"/>
            <w:tcBorders>
              <w:top w:val="double" w:color="auto" w:sz="4" w:space="0"/>
              <w:left w:val="double" w:color="auto" w:sz="4" w:space="0"/>
              <w:bottom w:val="single" w:color="auto" w:sz="4" w:space="0"/>
              <w:right w:val="double" w:color="auto" w:sz="4" w:space="0"/>
              <w:tl2br w:val="nil"/>
              <w:tr2bl w:val="nil"/>
            </w:tcBorders>
            <w:shd w:val="clear" w:color="auto" w:fill="auto"/>
            <w:vAlign w:val="center"/>
          </w:tcPr>
          <w:p>
            <w:pPr>
              <w:pStyle w:val="0"/>
              <w:jc w:val="center"/>
              <w:rPr>
                <w:rFonts w:hint="eastAsia"/>
              </w:rPr>
            </w:pPr>
            <w:r>
              <w:rPr>
                <w:rFonts w:hint="eastAsia" w:ascii="ＭＳ 明朝" w:hAnsi="ＭＳ 明朝"/>
                <w:b w:val="1"/>
                <w:sz w:val="24"/>
              </w:rPr>
              <w:t>R</w:t>
            </w:r>
            <w:r>
              <w:rPr>
                <w:rFonts w:hint="eastAsia" w:ascii="ＭＳ 明朝" w:hAnsi="ＭＳ 明朝"/>
                <w:b w:val="1"/>
                <w:sz w:val="24"/>
              </w:rPr>
              <w:t>２</w:t>
            </w:r>
          </w:p>
        </w:tc>
      </w:tr>
      <w:tr>
        <w:trPr>
          <w:trHeight w:val="435" w:hRule="atLeast"/>
        </w:trPr>
        <w:tc>
          <w:tcPr>
            <w:tcW w:w="4731" w:type="dxa"/>
            <w:tcBorders>
              <w:top w:val="single" w:color="auto" w:sz="4" w:space="0"/>
              <w:left w:val="single" w:color="auto" w:sz="4" w:space="0"/>
              <w:bottom w:val="dashed" w:color="auto" w:sz="4" w:space="0"/>
              <w:right w:val="single" w:color="auto" w:sz="4" w:space="0"/>
              <w:tl2br w:val="nil"/>
              <w:tr2bl w:val="nil"/>
            </w:tcBorders>
            <w:shd w:val="clear" w:color="auto" w:fill="auto"/>
            <w:vAlign w:val="center"/>
          </w:tcPr>
          <w:p>
            <w:pPr>
              <w:pStyle w:val="0"/>
              <w:rPr>
                <w:rFonts w:hint="eastAsia"/>
                <w:sz w:val="24"/>
              </w:rPr>
            </w:pPr>
            <w:r>
              <w:rPr>
                <w:rFonts w:hint="eastAsia"/>
                <w:sz w:val="24"/>
              </w:rPr>
              <w:t>ある</w:t>
            </w:r>
          </w:p>
        </w:tc>
        <w:tc>
          <w:tcPr>
            <w:tcW w:w="992" w:type="dxa"/>
            <w:tcBorders>
              <w:top w:val="single"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23.4</w:t>
            </w:r>
            <w:r>
              <w:rPr>
                <w:rFonts w:hint="eastAsia" w:ascii="ＭＳ 明朝" w:hAnsi="ＭＳ 明朝"/>
                <w:kern w:val="0"/>
                <w:sz w:val="24"/>
              </w:rPr>
              <w:t>％</w:t>
            </w:r>
          </w:p>
        </w:tc>
        <w:tc>
          <w:tcPr>
            <w:tcW w:w="992" w:type="dxa"/>
            <w:tcBorders>
              <w:top w:val="single"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22.4</w:t>
            </w:r>
            <w:r>
              <w:rPr>
                <w:rFonts w:hint="eastAsia" w:ascii="ＭＳ 明朝" w:hAnsi="ＭＳ 明朝"/>
                <w:kern w:val="0"/>
                <w:sz w:val="24"/>
              </w:rPr>
              <w:t>％</w:t>
            </w:r>
          </w:p>
        </w:tc>
        <w:tc>
          <w:tcPr>
            <w:tcW w:w="992" w:type="dxa"/>
            <w:tcBorders>
              <w:top w:val="single"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20.1</w:t>
            </w:r>
            <w:r>
              <w:rPr>
                <w:rFonts w:hint="eastAsia" w:ascii="ＭＳ 明朝" w:hAnsi="ＭＳ 明朝"/>
                <w:kern w:val="0"/>
                <w:sz w:val="24"/>
              </w:rPr>
              <w:t>％</w:t>
            </w:r>
          </w:p>
        </w:tc>
        <w:tc>
          <w:tcPr>
            <w:tcW w:w="992" w:type="dxa"/>
            <w:tcBorders>
              <w:top w:val="single" w:color="auto" w:sz="4" w:space="0"/>
              <w:left w:val="single" w:color="auto" w:sz="4" w:space="0"/>
              <w:bottom w:val="dashed"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23.5</w:t>
            </w:r>
            <w:r>
              <w:rPr>
                <w:rFonts w:hint="eastAsia" w:ascii="ＭＳ 明朝" w:hAnsi="ＭＳ 明朝"/>
                <w:kern w:val="0"/>
                <w:sz w:val="24"/>
              </w:rPr>
              <w:t>％</w:t>
            </w:r>
          </w:p>
        </w:tc>
        <w:tc>
          <w:tcPr>
            <w:tcW w:w="996" w:type="dxa"/>
            <w:tcBorders>
              <w:top w:val="single" w:color="auto" w:sz="4" w:space="0"/>
              <w:left w:val="double" w:color="auto" w:sz="4" w:space="0"/>
              <w:bottom w:val="dashed"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25.7</w:t>
            </w:r>
            <w:r>
              <w:rPr>
                <w:rFonts w:hint="eastAsia" w:ascii="ＭＳ ゴシック" w:hAnsi="ＭＳ ゴシック" w:eastAsia="ＭＳ ゴシック"/>
                <w:b w:val="1"/>
                <w:sz w:val="24"/>
              </w:rPr>
              <w:t>％</w:t>
            </w:r>
          </w:p>
        </w:tc>
      </w:tr>
      <w:tr>
        <w:trPr>
          <w:trHeight w:val="435" w:hRule="atLeast"/>
        </w:trPr>
        <w:tc>
          <w:tcPr>
            <w:tcW w:w="4731" w:type="dxa"/>
            <w:tcBorders>
              <w:top w:val="dashed"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rPr>
                <w:rFonts w:hint="eastAsia"/>
                <w:kern w:val="0"/>
                <w:sz w:val="24"/>
              </w:rPr>
            </w:pPr>
            <w:r>
              <w:rPr>
                <w:rFonts w:hint="eastAsia"/>
                <w:w w:val="80"/>
                <w:kern w:val="0"/>
                <w:sz w:val="24"/>
              </w:rPr>
              <w:t>差別かどうかわからないが、いやな気持ちになったことがある</w:t>
            </w:r>
          </w:p>
        </w:tc>
        <w:tc>
          <w:tcPr>
            <w:tcW w:w="992" w:type="dxa"/>
            <w:tcBorders>
              <w:top w:val="dashed"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30.3</w:t>
            </w:r>
            <w:r>
              <w:rPr>
                <w:rFonts w:hint="eastAsia" w:ascii="ＭＳ 明朝" w:hAnsi="ＭＳ 明朝"/>
                <w:kern w:val="0"/>
                <w:sz w:val="24"/>
              </w:rPr>
              <w:t>％</w:t>
            </w:r>
          </w:p>
        </w:tc>
        <w:tc>
          <w:tcPr>
            <w:tcW w:w="992" w:type="dxa"/>
            <w:tcBorders>
              <w:top w:val="dashed"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31.5</w:t>
            </w:r>
            <w:r>
              <w:rPr>
                <w:rFonts w:hint="eastAsia" w:ascii="ＭＳ 明朝" w:hAnsi="ＭＳ 明朝"/>
                <w:kern w:val="0"/>
                <w:sz w:val="24"/>
              </w:rPr>
              <w:t>％</w:t>
            </w:r>
          </w:p>
        </w:tc>
        <w:tc>
          <w:tcPr>
            <w:tcW w:w="992" w:type="dxa"/>
            <w:tcBorders>
              <w:top w:val="dashed"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33.5</w:t>
            </w:r>
            <w:r>
              <w:rPr>
                <w:rFonts w:hint="eastAsia" w:ascii="ＭＳ 明朝" w:hAnsi="ＭＳ 明朝"/>
                <w:kern w:val="0"/>
                <w:sz w:val="24"/>
              </w:rPr>
              <w:t>％</w:t>
            </w:r>
          </w:p>
        </w:tc>
        <w:tc>
          <w:tcPr>
            <w:tcW w:w="992" w:type="dxa"/>
            <w:tcBorders>
              <w:top w:val="dashed" w:color="auto" w:sz="4" w:space="0"/>
              <w:left w:val="single" w:color="auto" w:sz="4" w:space="0"/>
              <w:bottom w:val="dashed"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34.5</w:t>
            </w:r>
            <w:r>
              <w:rPr>
                <w:rFonts w:hint="eastAsia" w:ascii="ＭＳ 明朝" w:hAnsi="ＭＳ 明朝"/>
                <w:kern w:val="0"/>
                <w:sz w:val="24"/>
              </w:rPr>
              <w:t>％</w:t>
            </w:r>
          </w:p>
        </w:tc>
        <w:tc>
          <w:tcPr>
            <w:tcW w:w="996" w:type="dxa"/>
            <w:tcBorders>
              <w:top w:val="dashed" w:color="auto" w:sz="4" w:space="0"/>
              <w:left w:val="double" w:color="auto" w:sz="4" w:space="0"/>
              <w:bottom w:val="dashed"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32.6</w:t>
            </w:r>
            <w:r>
              <w:rPr>
                <w:rFonts w:hint="eastAsia" w:ascii="ＭＳ ゴシック" w:hAnsi="ＭＳ ゴシック" w:eastAsia="ＭＳ ゴシック"/>
                <w:b w:val="1"/>
                <w:sz w:val="24"/>
              </w:rPr>
              <w:t>％</w:t>
            </w:r>
          </w:p>
        </w:tc>
      </w:tr>
      <w:tr>
        <w:trPr>
          <w:trHeight w:val="435" w:hRule="atLeast"/>
        </w:trPr>
        <w:tc>
          <w:tcPr>
            <w:tcW w:w="4731" w:type="dxa"/>
            <w:tcBorders>
              <w:top w:val="dashed"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rPr>
                <w:rFonts w:hint="eastAsia"/>
                <w:kern w:val="0"/>
                <w:sz w:val="24"/>
              </w:rPr>
            </w:pPr>
            <w:r>
              <w:rPr>
                <w:rFonts w:hint="eastAsia"/>
                <w:kern w:val="0"/>
                <w:sz w:val="24"/>
              </w:rPr>
              <w:t>ない</w:t>
            </w:r>
          </w:p>
        </w:tc>
        <w:tc>
          <w:tcPr>
            <w:tcW w:w="992" w:type="dxa"/>
            <w:tcBorders>
              <w:top w:val="dashed"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46.3</w:t>
            </w:r>
            <w:r>
              <w:rPr>
                <w:rFonts w:hint="eastAsia" w:ascii="ＭＳ 明朝" w:hAnsi="ＭＳ 明朝"/>
                <w:kern w:val="0"/>
                <w:sz w:val="24"/>
              </w:rPr>
              <w:t>％</w:t>
            </w:r>
          </w:p>
        </w:tc>
        <w:tc>
          <w:tcPr>
            <w:tcW w:w="992" w:type="dxa"/>
            <w:tcBorders>
              <w:top w:val="dashed"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46.1</w:t>
            </w:r>
            <w:r>
              <w:rPr>
                <w:rFonts w:hint="eastAsia" w:ascii="ＭＳ 明朝" w:hAnsi="ＭＳ 明朝"/>
                <w:kern w:val="0"/>
                <w:sz w:val="24"/>
              </w:rPr>
              <w:t>％</w:t>
            </w:r>
          </w:p>
        </w:tc>
        <w:tc>
          <w:tcPr>
            <w:tcW w:w="992" w:type="dxa"/>
            <w:tcBorders>
              <w:top w:val="dashed"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46.4</w:t>
            </w:r>
            <w:r>
              <w:rPr>
                <w:rFonts w:hint="eastAsia" w:ascii="ＭＳ 明朝" w:hAnsi="ＭＳ 明朝"/>
                <w:kern w:val="0"/>
                <w:sz w:val="24"/>
              </w:rPr>
              <w:t>％</w:t>
            </w:r>
          </w:p>
        </w:tc>
        <w:tc>
          <w:tcPr>
            <w:tcW w:w="992" w:type="dxa"/>
            <w:tcBorders>
              <w:top w:val="dashed" w:color="auto" w:sz="4" w:space="0"/>
              <w:left w:val="single" w:color="auto" w:sz="4" w:space="0"/>
              <w:bottom w:val="single"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42.0</w:t>
            </w:r>
            <w:r>
              <w:rPr>
                <w:rFonts w:hint="eastAsia" w:ascii="ＭＳ 明朝" w:hAnsi="ＭＳ 明朝"/>
                <w:kern w:val="0"/>
                <w:sz w:val="24"/>
              </w:rPr>
              <w:t>％</w:t>
            </w:r>
          </w:p>
        </w:tc>
        <w:tc>
          <w:tcPr>
            <w:tcW w:w="996" w:type="dxa"/>
            <w:tcBorders>
              <w:top w:val="dashed" w:color="auto" w:sz="4" w:space="0"/>
              <w:left w:val="double" w:color="auto" w:sz="4" w:space="0"/>
              <w:bottom w:val="double"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41.6</w:t>
            </w:r>
            <w:r>
              <w:rPr>
                <w:rFonts w:hint="eastAsia" w:ascii="ＭＳ ゴシック" w:hAnsi="ＭＳ ゴシック" w:eastAsia="ＭＳ ゴシック"/>
                <w:b w:val="1"/>
                <w:sz w:val="24"/>
              </w:rPr>
              <w:t>％</w:t>
            </w:r>
          </w:p>
        </w:tc>
      </w:tr>
    </w:tbl>
    <w:p>
      <w:pPr>
        <w:pStyle w:val="0"/>
        <w:adjustRightInd w:val="0"/>
        <w:spacing w:line="280" w:lineRule="exact"/>
        <w:ind w:left="260" w:hanging="260"/>
        <w:rPr>
          <w:rFonts w:hint="eastAsia" w:ascii="ＭＳ ゴシック" w:hAnsi="ＭＳ ゴシック" w:eastAsia="ＭＳ ゴシック"/>
          <w:kern w:val="0"/>
          <w:sz w:val="24"/>
        </w:rPr>
      </w:pPr>
    </w:p>
    <w:p>
      <w:pPr>
        <w:pStyle w:val="0"/>
        <w:adjustRightInd w:val="0"/>
        <w:spacing w:line="300" w:lineRule="exact"/>
        <w:ind w:left="260" w:hanging="260"/>
        <w:rPr>
          <w:rFonts w:hint="default" w:ascii="ＭＳ ゴシック" w:hAnsi="ＭＳ ゴシック" w:eastAsia="ＭＳ ゴシック"/>
          <w:kern w:val="0"/>
          <w:sz w:val="24"/>
        </w:rPr>
      </w:pPr>
      <w:r>
        <w:rPr>
          <w:rFonts w:hint="eastAsia" w:ascii="ＭＳ ゴシック" w:hAnsi="ＭＳ ゴシック" w:eastAsia="ＭＳ ゴシック"/>
          <w:kern w:val="0"/>
          <w:sz w:val="24"/>
        </w:rPr>
        <w:t>○</w:t>
      </w:r>
      <w:r>
        <w:rPr>
          <w:rFonts w:hint="eastAsia" w:ascii="ＭＳ ゴシック" w:hAnsi="ＭＳ ゴシック" w:eastAsia="ＭＳ ゴシック"/>
          <w:kern w:val="0"/>
          <w:sz w:val="24"/>
        </w:rPr>
        <w:t xml:space="preserve"> </w:t>
      </w:r>
      <w:r>
        <w:rPr>
          <w:rFonts w:hint="eastAsia" w:ascii="ＭＳ ゴシック" w:hAnsi="ＭＳ ゴシック" w:eastAsia="ＭＳ ゴシック"/>
          <w:kern w:val="0"/>
          <w:sz w:val="24"/>
        </w:rPr>
        <w:t>差別を感じたり、いやな気持ちになったことがある場面として、昨年度に引き続き「電車やバスなどの交通機関の利用の場面」が多い。次いで多いのが「学校、教育現場」や「買い物の場面」で、いずれも昨年度から割合は増加している。</w:t>
      </w:r>
    </w:p>
    <w:tbl>
      <w:tblPr>
        <w:tblStyle w:val="11"/>
        <w:tblW w:w="9630" w:type="dxa"/>
        <w:tblInd w:w="13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1" w:lastRow="1" w:firstColumn="1" w:lastColumn="1" w:noHBand="0" w:noVBand="0" w:val="01E0"/>
      </w:tblPr>
      <w:tblGrid>
        <w:gridCol w:w="4659"/>
        <w:gridCol w:w="993"/>
        <w:gridCol w:w="994"/>
        <w:gridCol w:w="994"/>
        <w:gridCol w:w="994"/>
        <w:gridCol w:w="996"/>
      </w:tblGrid>
      <w:tr>
        <w:trPr/>
        <w:tc>
          <w:tcPr>
            <w:tcW w:w="46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kern w:val="0"/>
                <w:sz w:val="24"/>
              </w:rPr>
            </w:pPr>
            <w:r>
              <w:rPr>
                <w:rFonts w:hint="eastAsia"/>
                <w:kern w:val="0"/>
                <w:sz w:val="24"/>
              </w:rPr>
              <w:t>項　　目</w:t>
            </w:r>
          </w:p>
        </w:tc>
        <w:tc>
          <w:tcPr>
            <w:tcW w:w="99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H28</w:t>
            </w:r>
          </w:p>
        </w:tc>
        <w:tc>
          <w:tcPr>
            <w:tcW w:w="99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H29</w:t>
            </w:r>
          </w:p>
        </w:tc>
        <w:tc>
          <w:tcPr>
            <w:tcW w:w="99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H30</w:t>
            </w:r>
          </w:p>
        </w:tc>
        <w:tc>
          <w:tcPr>
            <w:tcW w:w="998" w:type="dxa"/>
            <w:tcBorders>
              <w:top w:val="single" w:color="auto" w:sz="4" w:space="0"/>
              <w:left w:val="single" w:color="auto" w:sz="4" w:space="0"/>
              <w:bottom w:val="single"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R</w:t>
            </w:r>
            <w:r>
              <w:rPr>
                <w:rFonts w:hint="eastAsia" w:ascii="ＭＳ 明朝" w:hAnsi="ＭＳ 明朝"/>
                <w:kern w:val="0"/>
                <w:sz w:val="24"/>
              </w:rPr>
              <w:t>元</w:t>
            </w:r>
          </w:p>
        </w:tc>
        <w:tc>
          <w:tcPr>
            <w:tcW w:w="1000" w:type="dxa"/>
            <w:tcBorders>
              <w:top w:val="double" w:color="auto" w:sz="4" w:space="0"/>
              <w:left w:val="double" w:color="auto" w:sz="4" w:space="0"/>
              <w:bottom w:val="single"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明朝" w:hAnsi="ＭＳ 明朝"/>
                <w:b w:val="1"/>
                <w:sz w:val="24"/>
              </w:rPr>
              <w:t>R</w:t>
            </w:r>
            <w:r>
              <w:rPr>
                <w:rFonts w:hint="eastAsia" w:ascii="ＭＳ 明朝" w:hAnsi="ＭＳ 明朝"/>
                <w:b w:val="1"/>
                <w:sz w:val="24"/>
              </w:rPr>
              <w:t>２</w:t>
            </w:r>
          </w:p>
        </w:tc>
      </w:tr>
      <w:tr>
        <w:trPr/>
        <w:tc>
          <w:tcPr>
            <w:tcW w:w="4686" w:type="dxa"/>
            <w:tcBorders>
              <w:top w:val="single"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rPr>
                <w:rFonts w:hint="eastAsia"/>
                <w:kern w:val="0"/>
                <w:sz w:val="24"/>
              </w:rPr>
            </w:pPr>
            <w:r>
              <w:rPr>
                <w:rFonts w:hint="eastAsia"/>
                <w:kern w:val="0"/>
                <w:sz w:val="24"/>
              </w:rPr>
              <w:t>電車やバスなどの交通機関の利用の場面</w:t>
            </w:r>
          </w:p>
        </w:tc>
        <w:tc>
          <w:tcPr>
            <w:tcW w:w="998" w:type="dxa"/>
            <w:tcBorders>
              <w:top w:val="single"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44.7</w:t>
            </w:r>
            <w:r>
              <w:rPr>
                <w:rFonts w:hint="eastAsia" w:ascii="ＭＳ 明朝" w:hAnsi="ＭＳ 明朝"/>
                <w:kern w:val="0"/>
                <w:sz w:val="24"/>
              </w:rPr>
              <w:t>％</w:t>
            </w:r>
          </w:p>
        </w:tc>
        <w:tc>
          <w:tcPr>
            <w:tcW w:w="998" w:type="dxa"/>
            <w:tcBorders>
              <w:top w:val="single"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42.3</w:t>
            </w:r>
            <w:r>
              <w:rPr>
                <w:rFonts w:hint="eastAsia" w:ascii="ＭＳ 明朝" w:hAnsi="ＭＳ 明朝"/>
                <w:kern w:val="0"/>
                <w:sz w:val="24"/>
              </w:rPr>
              <w:t>％</w:t>
            </w:r>
          </w:p>
        </w:tc>
        <w:tc>
          <w:tcPr>
            <w:tcW w:w="998" w:type="dxa"/>
            <w:tcBorders>
              <w:top w:val="single"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43.9</w:t>
            </w:r>
            <w:r>
              <w:rPr>
                <w:rFonts w:hint="eastAsia" w:ascii="ＭＳ 明朝" w:hAnsi="ＭＳ 明朝"/>
                <w:kern w:val="0"/>
                <w:sz w:val="24"/>
              </w:rPr>
              <w:t>％</w:t>
            </w:r>
          </w:p>
        </w:tc>
        <w:tc>
          <w:tcPr>
            <w:tcW w:w="998" w:type="dxa"/>
            <w:tcBorders>
              <w:top w:val="single" w:color="auto" w:sz="4" w:space="0"/>
              <w:left w:val="single" w:color="auto" w:sz="4" w:space="0"/>
              <w:bottom w:val="dashed"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43.1</w:t>
            </w:r>
            <w:r>
              <w:rPr>
                <w:rFonts w:hint="eastAsia" w:ascii="ＭＳ 明朝" w:hAnsi="ＭＳ 明朝"/>
                <w:kern w:val="0"/>
                <w:sz w:val="24"/>
              </w:rPr>
              <w:t>％</w:t>
            </w:r>
          </w:p>
        </w:tc>
        <w:tc>
          <w:tcPr>
            <w:tcW w:w="1000" w:type="dxa"/>
            <w:tcBorders>
              <w:top w:val="single" w:color="auto" w:sz="4" w:space="0"/>
              <w:left w:val="double" w:color="auto" w:sz="4" w:space="0"/>
              <w:bottom w:val="dashed"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43.8</w:t>
            </w:r>
            <w:r>
              <w:rPr>
                <w:rFonts w:hint="eastAsia" w:ascii="ＭＳ ゴシック" w:hAnsi="ＭＳ ゴシック" w:eastAsia="ＭＳ ゴシック"/>
                <w:b w:val="1"/>
                <w:sz w:val="24"/>
              </w:rPr>
              <w:t>％</w:t>
            </w:r>
          </w:p>
        </w:tc>
      </w:tr>
      <w:tr>
        <w:trPr/>
        <w:tc>
          <w:tcPr>
            <w:tcW w:w="4686" w:type="dxa"/>
            <w:tcBorders>
              <w:top w:val="dashed"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rPr>
                <w:rFonts w:hint="eastAsia"/>
                <w:kern w:val="0"/>
                <w:sz w:val="24"/>
              </w:rPr>
            </w:pPr>
            <w:r>
              <w:rPr>
                <w:rFonts w:hint="eastAsia"/>
                <w:kern w:val="0"/>
                <w:sz w:val="24"/>
              </w:rPr>
              <w:t>学校、教育現場</w:t>
            </w:r>
          </w:p>
        </w:tc>
        <w:tc>
          <w:tcPr>
            <w:tcW w:w="998" w:type="dxa"/>
            <w:tcBorders>
              <w:top w:val="dashed"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36.5</w:t>
            </w:r>
            <w:r>
              <w:rPr>
                <w:rFonts w:hint="eastAsia" w:ascii="ＭＳ 明朝" w:hAnsi="ＭＳ 明朝"/>
                <w:kern w:val="0"/>
                <w:sz w:val="24"/>
              </w:rPr>
              <w:t>％</w:t>
            </w:r>
          </w:p>
        </w:tc>
        <w:tc>
          <w:tcPr>
            <w:tcW w:w="998" w:type="dxa"/>
            <w:tcBorders>
              <w:top w:val="dashed"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37.1</w:t>
            </w:r>
            <w:r>
              <w:rPr>
                <w:rFonts w:hint="eastAsia" w:ascii="ＭＳ 明朝" w:hAnsi="ＭＳ 明朝"/>
                <w:kern w:val="0"/>
                <w:sz w:val="24"/>
              </w:rPr>
              <w:t>％</w:t>
            </w:r>
          </w:p>
        </w:tc>
        <w:tc>
          <w:tcPr>
            <w:tcW w:w="998" w:type="dxa"/>
            <w:tcBorders>
              <w:top w:val="dashed"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34.8</w:t>
            </w:r>
            <w:r>
              <w:rPr>
                <w:rFonts w:hint="eastAsia" w:ascii="ＭＳ 明朝" w:hAnsi="ＭＳ 明朝"/>
                <w:kern w:val="0"/>
                <w:sz w:val="24"/>
              </w:rPr>
              <w:t>％</w:t>
            </w:r>
          </w:p>
        </w:tc>
        <w:tc>
          <w:tcPr>
            <w:tcW w:w="998" w:type="dxa"/>
            <w:tcBorders>
              <w:top w:val="dashed" w:color="auto" w:sz="4" w:space="0"/>
              <w:left w:val="single" w:color="auto" w:sz="4" w:space="0"/>
              <w:bottom w:val="dashed"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30.9</w:t>
            </w:r>
            <w:r>
              <w:rPr>
                <w:rFonts w:hint="eastAsia" w:ascii="ＭＳ 明朝" w:hAnsi="ＭＳ 明朝"/>
                <w:kern w:val="0"/>
                <w:sz w:val="24"/>
              </w:rPr>
              <w:t>％</w:t>
            </w:r>
          </w:p>
        </w:tc>
        <w:tc>
          <w:tcPr>
            <w:tcW w:w="1000" w:type="dxa"/>
            <w:tcBorders>
              <w:top w:val="dashed" w:color="auto" w:sz="4" w:space="0"/>
              <w:left w:val="double" w:color="auto" w:sz="4" w:space="0"/>
              <w:bottom w:val="dashed"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34.5</w:t>
            </w:r>
            <w:r>
              <w:rPr>
                <w:rFonts w:hint="eastAsia" w:ascii="ＭＳ ゴシック" w:hAnsi="ＭＳ ゴシック" w:eastAsia="ＭＳ ゴシック"/>
                <w:b w:val="1"/>
                <w:sz w:val="24"/>
              </w:rPr>
              <w:t>％</w:t>
            </w:r>
          </w:p>
        </w:tc>
      </w:tr>
      <w:tr>
        <w:trPr>
          <w:trHeight w:val="70" w:hRule="atLeast"/>
        </w:trPr>
        <w:tc>
          <w:tcPr>
            <w:tcW w:w="4686" w:type="dxa"/>
            <w:tcBorders>
              <w:top w:val="dashed"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rPr>
                <w:rFonts w:hint="eastAsia"/>
                <w:kern w:val="0"/>
                <w:sz w:val="24"/>
              </w:rPr>
            </w:pPr>
            <w:r>
              <w:rPr>
                <w:rFonts w:hint="eastAsia"/>
                <w:kern w:val="0"/>
                <w:sz w:val="24"/>
              </w:rPr>
              <w:t>買い物の場面</w:t>
            </w:r>
          </w:p>
        </w:tc>
        <w:tc>
          <w:tcPr>
            <w:tcW w:w="998" w:type="dxa"/>
            <w:tcBorders>
              <w:top w:val="dashed"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26.2</w:t>
            </w:r>
            <w:r>
              <w:rPr>
                <w:rFonts w:hint="eastAsia" w:ascii="ＭＳ 明朝" w:hAnsi="ＭＳ 明朝"/>
                <w:kern w:val="0"/>
                <w:sz w:val="24"/>
              </w:rPr>
              <w:t>％</w:t>
            </w:r>
          </w:p>
        </w:tc>
        <w:tc>
          <w:tcPr>
            <w:tcW w:w="998" w:type="dxa"/>
            <w:tcBorders>
              <w:top w:val="dashed"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32.0</w:t>
            </w:r>
            <w:r>
              <w:rPr>
                <w:rFonts w:hint="eastAsia" w:ascii="ＭＳ 明朝" w:hAnsi="ＭＳ 明朝"/>
                <w:kern w:val="0"/>
                <w:sz w:val="24"/>
              </w:rPr>
              <w:t>％</w:t>
            </w:r>
          </w:p>
        </w:tc>
        <w:tc>
          <w:tcPr>
            <w:tcW w:w="998" w:type="dxa"/>
            <w:tcBorders>
              <w:top w:val="dashed"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26.4</w:t>
            </w:r>
            <w:r>
              <w:rPr>
                <w:rFonts w:hint="eastAsia" w:ascii="ＭＳ 明朝" w:hAnsi="ＭＳ 明朝"/>
                <w:kern w:val="0"/>
                <w:sz w:val="24"/>
              </w:rPr>
              <w:t>％</w:t>
            </w:r>
          </w:p>
        </w:tc>
        <w:tc>
          <w:tcPr>
            <w:tcW w:w="998" w:type="dxa"/>
            <w:tcBorders>
              <w:top w:val="dashed" w:color="auto" w:sz="4" w:space="0"/>
              <w:left w:val="single" w:color="auto" w:sz="4" w:space="0"/>
              <w:bottom w:val="single"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24.9</w:t>
            </w:r>
            <w:r>
              <w:rPr>
                <w:rFonts w:hint="eastAsia" w:ascii="ＭＳ 明朝" w:hAnsi="ＭＳ 明朝"/>
                <w:kern w:val="0"/>
                <w:sz w:val="24"/>
              </w:rPr>
              <w:t>％</w:t>
            </w:r>
          </w:p>
        </w:tc>
        <w:tc>
          <w:tcPr>
            <w:tcW w:w="1000" w:type="dxa"/>
            <w:tcBorders>
              <w:top w:val="dashed" w:color="auto" w:sz="4" w:space="0"/>
              <w:left w:val="double" w:color="auto" w:sz="4" w:space="0"/>
              <w:bottom w:val="double"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28.8</w:t>
            </w:r>
            <w:r>
              <w:rPr>
                <w:rFonts w:hint="eastAsia" w:ascii="ＭＳ ゴシック" w:hAnsi="ＭＳ ゴシック" w:eastAsia="ＭＳ ゴシック"/>
                <w:b w:val="1"/>
                <w:sz w:val="24"/>
              </w:rPr>
              <w:t>％</w:t>
            </w:r>
          </w:p>
        </w:tc>
      </w:tr>
    </w:tbl>
    <w:p>
      <w:pPr>
        <w:pStyle w:val="0"/>
        <w:adjustRightInd w:val="0"/>
        <w:spacing w:line="280" w:lineRule="exact"/>
        <w:ind w:left="260" w:hanging="260"/>
        <w:rPr>
          <w:rFonts w:hint="eastAsia"/>
          <w:kern w:val="0"/>
          <w:sz w:val="24"/>
        </w:rPr>
      </w:pPr>
    </w:p>
    <w:p>
      <w:pPr>
        <w:pStyle w:val="0"/>
        <w:adjustRightInd w:val="0"/>
        <w:spacing w:line="280" w:lineRule="exact"/>
        <w:ind w:left="260" w:hanging="260"/>
        <w:rPr>
          <w:rFonts w:hint="eastAsia"/>
          <w:kern w:val="0"/>
          <w:sz w:val="24"/>
        </w:rPr>
      </w:pPr>
      <w:r>
        <w:rPr>
          <w:rFonts w:hint="eastAsia"/>
          <w:color w:val="auto"/>
        </w:rPr>
        <w:br w:type="page"/>
      </w:r>
    </w:p>
    <w:p>
      <w:pPr>
        <w:pStyle w:val="0"/>
        <w:adjustRightInd w:val="0"/>
        <w:spacing w:line="300" w:lineRule="exact"/>
        <w:ind w:left="241" w:hanging="241"/>
        <w:rPr>
          <w:rFonts w:hint="default" w:ascii="ＭＳ ゴシック" w:hAnsi="ＭＳ ゴシック" w:eastAsia="ＭＳ ゴシック"/>
          <w:kern w:val="0"/>
          <w:sz w:val="24"/>
        </w:rPr>
      </w:pPr>
      <w:r>
        <w:rPr>
          <w:rFonts w:hint="eastAsia" w:ascii="ＭＳ ゴシック" w:hAnsi="ＭＳ ゴシック" w:eastAsia="ＭＳ ゴシック"/>
          <w:kern w:val="0"/>
          <w:sz w:val="24"/>
        </w:rPr>
        <w:t>○</w:t>
      </w:r>
      <w:r>
        <w:rPr>
          <w:rFonts w:hint="eastAsia" w:ascii="ＭＳ ゴシック" w:hAnsi="ＭＳ ゴシック" w:eastAsia="ＭＳ ゴシック"/>
          <w:kern w:val="0"/>
          <w:sz w:val="24"/>
        </w:rPr>
        <w:t xml:space="preserve"> </w:t>
      </w:r>
      <w:r>
        <w:rPr>
          <w:rFonts w:hint="eastAsia" w:ascii="ＭＳ ゴシック" w:hAnsi="ＭＳ ゴシック" w:eastAsia="ＭＳ ゴシック"/>
          <w:kern w:val="0"/>
          <w:sz w:val="24"/>
        </w:rPr>
        <w:t>「ヘルプマーク」を見たことがあり意味も知っている人の割合は、昨年度から５％増加した。</w:t>
      </w:r>
    </w:p>
    <w:tbl>
      <w:tblPr>
        <w:tblStyle w:val="11"/>
        <w:tblW w:w="9630" w:type="dxa"/>
        <w:tblInd w:w="13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1" w:lastRow="1" w:firstColumn="1" w:lastColumn="1" w:noHBand="0" w:noVBand="0" w:val="01E0"/>
      </w:tblPr>
      <w:tblGrid>
        <w:gridCol w:w="4677"/>
        <w:gridCol w:w="991"/>
        <w:gridCol w:w="990"/>
        <w:gridCol w:w="990"/>
        <w:gridCol w:w="990"/>
        <w:gridCol w:w="992"/>
      </w:tblGrid>
      <w:tr>
        <w:trPr/>
        <w:tc>
          <w:tcPr>
            <w:tcW w:w="46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kern w:val="0"/>
                <w:sz w:val="24"/>
              </w:rPr>
            </w:pPr>
            <w:r>
              <w:rPr>
                <w:rFonts w:hint="eastAsia"/>
                <w:kern w:val="0"/>
                <w:sz w:val="24"/>
              </w:rPr>
              <w:t>項　　目</w:t>
            </w:r>
          </w:p>
        </w:tc>
        <w:tc>
          <w:tcPr>
            <w:tcW w:w="9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H28</w:t>
            </w:r>
          </w:p>
        </w:tc>
        <w:tc>
          <w:tcPr>
            <w:tcW w:w="9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H29</w:t>
            </w:r>
          </w:p>
        </w:tc>
        <w:tc>
          <w:tcPr>
            <w:tcW w:w="99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H30</w:t>
            </w:r>
          </w:p>
        </w:tc>
        <w:tc>
          <w:tcPr>
            <w:tcW w:w="992" w:type="dxa"/>
            <w:tcBorders>
              <w:top w:val="single" w:color="auto" w:sz="4" w:space="0"/>
              <w:left w:val="single" w:color="auto" w:sz="4" w:space="0"/>
              <w:bottom w:val="single"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R</w:t>
            </w:r>
            <w:r>
              <w:rPr>
                <w:rFonts w:hint="eastAsia" w:ascii="ＭＳ 明朝" w:hAnsi="ＭＳ 明朝"/>
                <w:kern w:val="0"/>
                <w:sz w:val="24"/>
              </w:rPr>
              <w:t>元</w:t>
            </w:r>
          </w:p>
        </w:tc>
        <w:tc>
          <w:tcPr>
            <w:tcW w:w="994" w:type="dxa"/>
            <w:tcBorders>
              <w:top w:val="double" w:color="auto" w:sz="4" w:space="0"/>
              <w:left w:val="double" w:color="auto" w:sz="4" w:space="0"/>
              <w:bottom w:val="single" w:color="auto" w:sz="4" w:space="0"/>
              <w:right w:val="double" w:color="auto" w:sz="4" w:space="0"/>
              <w:tl2br w:val="nil"/>
              <w:tr2bl w:val="nil"/>
            </w:tcBorders>
            <w:shd w:val="clear" w:color="auto" w:fill="auto"/>
            <w:vAlign w:val="center"/>
          </w:tcPr>
          <w:p>
            <w:pPr>
              <w:pStyle w:val="0"/>
              <w:jc w:val="center"/>
              <w:rPr>
                <w:rFonts w:hint="eastAsia" w:ascii="ＭＳ 明朝" w:hAnsi="ＭＳ 明朝"/>
                <w:b w:val="1"/>
                <w:sz w:val="24"/>
              </w:rPr>
            </w:pPr>
            <w:r>
              <w:rPr>
                <w:rFonts w:hint="eastAsia" w:ascii="ＭＳ 明朝" w:hAnsi="ＭＳ 明朝"/>
                <w:b w:val="1"/>
                <w:sz w:val="24"/>
              </w:rPr>
              <w:t>R</w:t>
            </w:r>
            <w:r>
              <w:rPr>
                <w:rFonts w:hint="eastAsia" w:ascii="ＭＳ 明朝" w:hAnsi="ＭＳ 明朝"/>
                <w:b w:val="1"/>
                <w:sz w:val="24"/>
              </w:rPr>
              <w:t>２</w:t>
            </w:r>
          </w:p>
        </w:tc>
      </w:tr>
      <w:tr>
        <w:trPr/>
        <w:tc>
          <w:tcPr>
            <w:tcW w:w="4686" w:type="dxa"/>
            <w:tcBorders>
              <w:top w:val="single"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rPr>
                <w:rFonts w:hint="eastAsia"/>
                <w:kern w:val="0"/>
                <w:sz w:val="24"/>
              </w:rPr>
            </w:pPr>
            <w:r>
              <w:rPr>
                <w:rFonts w:hint="eastAsia"/>
                <w:kern w:val="0"/>
                <w:sz w:val="24"/>
              </w:rPr>
              <w:t>見たこともあり、意味も知っている</w:t>
            </w:r>
          </w:p>
        </w:tc>
        <w:tc>
          <w:tcPr>
            <w:tcW w:w="992" w:type="dxa"/>
            <w:vMerge w:val="restart"/>
            <w:tcBorders>
              <w:top w:val="single" w:color="auto" w:sz="4" w:space="0"/>
              <w:left w:val="single" w:color="auto" w:sz="4" w:space="0"/>
              <w:bottom w:val="single" w:color="auto" w:sz="4" w:space="0"/>
              <w:right w:val="single" w:color="auto" w:sz="4" w:space="0"/>
              <w:tl2br w:val="nil"/>
              <w:tr2bl w:val="single" w:color="auto" w:sz="4" w:space="0"/>
            </w:tcBorders>
            <w:shd w:val="clear" w:color="auto" w:fill="auto"/>
            <w:vAlign w:val="center"/>
          </w:tcPr>
          <w:p>
            <w:pPr>
              <w:pStyle w:val="0"/>
              <w:adjustRightInd w:val="0"/>
              <w:spacing w:line="300" w:lineRule="exact"/>
              <w:jc w:val="center"/>
              <w:rPr>
                <w:rFonts w:hint="eastAsia"/>
                <w:kern w:val="0"/>
                <w:sz w:val="24"/>
              </w:rPr>
            </w:pPr>
          </w:p>
        </w:tc>
        <w:tc>
          <w:tcPr>
            <w:tcW w:w="992" w:type="dxa"/>
            <w:tcBorders>
              <w:top w:val="single"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12.9</w:t>
            </w:r>
            <w:r>
              <w:rPr>
                <w:rFonts w:hint="eastAsia" w:ascii="ＭＳ 明朝" w:hAnsi="ＭＳ 明朝"/>
                <w:kern w:val="0"/>
                <w:sz w:val="24"/>
              </w:rPr>
              <w:t>％</w:t>
            </w:r>
          </w:p>
        </w:tc>
        <w:tc>
          <w:tcPr>
            <w:tcW w:w="992" w:type="dxa"/>
            <w:tcBorders>
              <w:top w:val="single"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32.6</w:t>
            </w:r>
            <w:r>
              <w:rPr>
                <w:rFonts w:hint="eastAsia" w:ascii="ＭＳ 明朝" w:hAnsi="ＭＳ 明朝"/>
                <w:kern w:val="0"/>
                <w:sz w:val="24"/>
              </w:rPr>
              <w:t>％</w:t>
            </w:r>
          </w:p>
        </w:tc>
        <w:tc>
          <w:tcPr>
            <w:tcW w:w="992" w:type="dxa"/>
            <w:tcBorders>
              <w:top w:val="single" w:color="auto" w:sz="4" w:space="0"/>
              <w:left w:val="single" w:color="auto" w:sz="4" w:space="0"/>
              <w:bottom w:val="dashed"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42.2</w:t>
            </w:r>
            <w:r>
              <w:rPr>
                <w:rFonts w:hint="eastAsia" w:ascii="ＭＳ 明朝" w:hAnsi="ＭＳ 明朝"/>
                <w:kern w:val="0"/>
                <w:sz w:val="24"/>
              </w:rPr>
              <w:t>％</w:t>
            </w:r>
          </w:p>
        </w:tc>
        <w:tc>
          <w:tcPr>
            <w:tcW w:w="994" w:type="dxa"/>
            <w:tcBorders>
              <w:top w:val="single" w:color="auto" w:sz="4" w:space="0"/>
              <w:left w:val="double" w:color="auto" w:sz="4" w:space="0"/>
              <w:bottom w:val="dashed"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47.2</w:t>
            </w:r>
            <w:r>
              <w:rPr>
                <w:rFonts w:hint="eastAsia" w:ascii="ＭＳ ゴシック" w:hAnsi="ＭＳ ゴシック" w:eastAsia="ＭＳ ゴシック"/>
                <w:b w:val="1"/>
                <w:sz w:val="24"/>
              </w:rPr>
              <w:t>％</w:t>
            </w:r>
          </w:p>
        </w:tc>
      </w:tr>
      <w:tr>
        <w:trPr/>
        <w:tc>
          <w:tcPr>
            <w:tcW w:w="4686" w:type="dxa"/>
            <w:tcBorders>
              <w:top w:val="dashed"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rPr>
                <w:rFonts w:hint="eastAsia"/>
                <w:kern w:val="0"/>
                <w:sz w:val="24"/>
              </w:rPr>
            </w:pPr>
            <w:r>
              <w:rPr>
                <w:rFonts w:hint="eastAsia"/>
                <w:kern w:val="0"/>
                <w:sz w:val="24"/>
              </w:rPr>
              <w:t>見たことはあるが、意味は知らない</w:t>
            </w:r>
          </w:p>
        </w:tc>
        <w:tc>
          <w:tcPr>
            <w:tcW w:w="992" w:type="dxa"/>
            <w:vMerge w:val="continue"/>
            <w:tcBorders>
              <w:top w:val="single" w:color="auto" w:sz="4" w:space="0"/>
              <w:left w:val="single" w:color="auto" w:sz="4" w:space="0"/>
              <w:bottom w:val="single" w:color="auto" w:sz="4" w:space="0"/>
              <w:right w:val="single" w:color="auto" w:sz="4" w:space="0"/>
              <w:tl2br w:val="nil"/>
              <w:tr2bl w:val="single" w:color="auto" w:sz="4" w:space="0"/>
            </w:tcBorders>
            <w:shd w:val="clear" w:color="auto" w:fill="auto"/>
            <w:vAlign w:val="center"/>
          </w:tcPr>
          <w:p>
            <w:pPr>
              <w:pStyle w:val="0"/>
              <w:rPr>
                <w:rFonts w:hint="eastAsia"/>
              </w:rPr>
            </w:pPr>
          </w:p>
        </w:tc>
        <w:tc>
          <w:tcPr>
            <w:tcW w:w="992" w:type="dxa"/>
            <w:tcBorders>
              <w:top w:val="dashed"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12.1</w:t>
            </w:r>
            <w:r>
              <w:rPr>
                <w:rFonts w:hint="eastAsia" w:ascii="ＭＳ 明朝" w:hAnsi="ＭＳ 明朝"/>
                <w:kern w:val="0"/>
                <w:sz w:val="24"/>
              </w:rPr>
              <w:t>％</w:t>
            </w:r>
          </w:p>
        </w:tc>
        <w:tc>
          <w:tcPr>
            <w:tcW w:w="992" w:type="dxa"/>
            <w:tcBorders>
              <w:top w:val="dashed" w:color="auto" w:sz="4" w:space="0"/>
              <w:left w:val="single" w:color="auto" w:sz="4" w:space="0"/>
              <w:bottom w:val="dashed"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17.8</w:t>
            </w:r>
            <w:r>
              <w:rPr>
                <w:rFonts w:hint="eastAsia" w:ascii="ＭＳ 明朝" w:hAnsi="ＭＳ 明朝"/>
                <w:kern w:val="0"/>
                <w:sz w:val="24"/>
              </w:rPr>
              <w:t>％</w:t>
            </w:r>
          </w:p>
        </w:tc>
        <w:tc>
          <w:tcPr>
            <w:tcW w:w="992" w:type="dxa"/>
            <w:tcBorders>
              <w:top w:val="dashed" w:color="auto" w:sz="4" w:space="0"/>
              <w:left w:val="single" w:color="auto" w:sz="4" w:space="0"/>
              <w:bottom w:val="dashed"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17.6</w:t>
            </w:r>
            <w:r>
              <w:rPr>
                <w:rFonts w:hint="eastAsia" w:ascii="ＭＳ 明朝" w:hAnsi="ＭＳ 明朝"/>
                <w:kern w:val="0"/>
                <w:sz w:val="24"/>
              </w:rPr>
              <w:t>％</w:t>
            </w:r>
          </w:p>
        </w:tc>
        <w:tc>
          <w:tcPr>
            <w:tcW w:w="994" w:type="dxa"/>
            <w:tcBorders>
              <w:top w:val="dashed" w:color="auto" w:sz="4" w:space="0"/>
              <w:left w:val="double" w:color="auto" w:sz="4" w:space="0"/>
              <w:bottom w:val="dashed"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16.4</w:t>
            </w:r>
            <w:r>
              <w:rPr>
                <w:rFonts w:hint="eastAsia" w:ascii="ＭＳ ゴシック" w:hAnsi="ＭＳ ゴシック" w:eastAsia="ＭＳ ゴシック"/>
                <w:b w:val="1"/>
                <w:sz w:val="24"/>
              </w:rPr>
              <w:t>％</w:t>
            </w:r>
          </w:p>
        </w:tc>
      </w:tr>
      <w:tr>
        <w:trPr/>
        <w:tc>
          <w:tcPr>
            <w:tcW w:w="4686" w:type="dxa"/>
            <w:tcBorders>
              <w:top w:val="dashed"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rPr>
                <w:rFonts w:hint="eastAsia"/>
                <w:kern w:val="0"/>
                <w:sz w:val="24"/>
              </w:rPr>
            </w:pPr>
            <w:r>
              <w:rPr>
                <w:rFonts w:hint="eastAsia"/>
                <w:kern w:val="0"/>
                <w:sz w:val="24"/>
              </w:rPr>
              <w:t>知らない</w:t>
            </w:r>
          </w:p>
        </w:tc>
        <w:tc>
          <w:tcPr>
            <w:tcW w:w="992" w:type="dxa"/>
            <w:vMerge w:val="continue"/>
            <w:tcBorders>
              <w:top w:val="single" w:color="auto" w:sz="4" w:space="0"/>
              <w:left w:val="single" w:color="auto" w:sz="4" w:space="0"/>
              <w:bottom w:val="single" w:color="auto" w:sz="4" w:space="0"/>
              <w:right w:val="single" w:color="auto" w:sz="4" w:space="0"/>
              <w:tl2br w:val="nil"/>
              <w:tr2bl w:val="single" w:color="auto" w:sz="4" w:space="0"/>
            </w:tcBorders>
            <w:shd w:val="clear" w:color="auto" w:fill="auto"/>
            <w:vAlign w:val="center"/>
          </w:tcPr>
          <w:p>
            <w:pPr>
              <w:pStyle w:val="0"/>
              <w:rPr>
                <w:rFonts w:hint="eastAsia"/>
              </w:rPr>
            </w:pPr>
          </w:p>
        </w:tc>
        <w:tc>
          <w:tcPr>
            <w:tcW w:w="992" w:type="dxa"/>
            <w:tcBorders>
              <w:top w:val="dashed"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75.0</w:t>
            </w:r>
            <w:r>
              <w:rPr>
                <w:rFonts w:hint="eastAsia" w:ascii="ＭＳ 明朝" w:hAnsi="ＭＳ 明朝"/>
                <w:kern w:val="0"/>
                <w:sz w:val="24"/>
              </w:rPr>
              <w:t>％</w:t>
            </w:r>
          </w:p>
        </w:tc>
        <w:tc>
          <w:tcPr>
            <w:tcW w:w="992" w:type="dxa"/>
            <w:tcBorders>
              <w:top w:val="dashed" w:color="auto" w:sz="4" w:space="0"/>
              <w:left w:val="single" w:color="auto" w:sz="4" w:space="0"/>
              <w:bottom w:val="single" w:color="auto" w:sz="4" w:space="0"/>
              <w:right w:val="sing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49.6</w:t>
            </w:r>
            <w:r>
              <w:rPr>
                <w:rFonts w:hint="eastAsia" w:ascii="ＭＳ 明朝" w:hAnsi="ＭＳ 明朝"/>
                <w:kern w:val="0"/>
                <w:sz w:val="24"/>
              </w:rPr>
              <w:t>％</w:t>
            </w:r>
          </w:p>
        </w:tc>
        <w:tc>
          <w:tcPr>
            <w:tcW w:w="992" w:type="dxa"/>
            <w:tcBorders>
              <w:top w:val="dashed" w:color="auto" w:sz="4" w:space="0"/>
              <w:left w:val="single" w:color="auto" w:sz="4" w:space="0"/>
              <w:bottom w:val="single" w:color="auto" w:sz="4" w:space="0"/>
              <w:right w:val="double" w:color="auto" w:sz="4" w:space="0"/>
              <w:tl2br w:val="nil"/>
              <w:tr2bl w:val="nil"/>
            </w:tcBorders>
            <w:shd w:val="clear" w:color="auto" w:fill="auto"/>
            <w:vAlign w:val="center"/>
          </w:tcPr>
          <w:p>
            <w:pPr>
              <w:pStyle w:val="0"/>
              <w:adjustRightInd w:val="0"/>
              <w:spacing w:line="300" w:lineRule="exact"/>
              <w:jc w:val="center"/>
              <w:rPr>
                <w:rFonts w:hint="eastAsia" w:ascii="ＭＳ 明朝" w:hAnsi="ＭＳ 明朝"/>
                <w:kern w:val="0"/>
                <w:sz w:val="24"/>
              </w:rPr>
            </w:pPr>
            <w:r>
              <w:rPr>
                <w:rFonts w:hint="eastAsia" w:ascii="ＭＳ 明朝" w:hAnsi="ＭＳ 明朝"/>
                <w:kern w:val="0"/>
                <w:sz w:val="24"/>
              </w:rPr>
              <w:t>40.2</w:t>
            </w:r>
            <w:r>
              <w:rPr>
                <w:rFonts w:hint="eastAsia" w:ascii="ＭＳ 明朝" w:hAnsi="ＭＳ 明朝"/>
                <w:kern w:val="0"/>
                <w:sz w:val="24"/>
              </w:rPr>
              <w:t>％</w:t>
            </w:r>
          </w:p>
        </w:tc>
        <w:tc>
          <w:tcPr>
            <w:tcW w:w="994" w:type="dxa"/>
            <w:tcBorders>
              <w:top w:val="dashed" w:color="auto" w:sz="4" w:space="0"/>
              <w:left w:val="double" w:color="auto" w:sz="4" w:space="0"/>
              <w:bottom w:val="double" w:color="auto" w:sz="4" w:space="0"/>
              <w:right w:val="double" w:color="auto" w:sz="4" w:space="0"/>
              <w:tl2br w:val="nil"/>
              <w:tr2bl w:val="nil"/>
            </w:tcBorders>
            <w:shd w:val="clear" w:color="auto" w:fill="auto"/>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36.4</w:t>
            </w:r>
            <w:r>
              <w:rPr>
                <w:rFonts w:hint="eastAsia" w:ascii="ＭＳ ゴシック" w:hAnsi="ＭＳ ゴシック" w:eastAsia="ＭＳ ゴシック"/>
                <w:b w:val="1"/>
                <w:sz w:val="24"/>
              </w:rPr>
              <w:t>％</w:t>
            </w:r>
          </w:p>
        </w:tc>
      </w:tr>
    </w:tbl>
    <w:p>
      <w:pPr>
        <w:pStyle w:val="0"/>
        <w:spacing w:line="300" w:lineRule="exact"/>
        <w:ind w:right="-343" w:rightChars="-159"/>
        <w:rPr>
          <w:rFonts w:hint="eastAsia"/>
        </w:rPr>
      </w:pPr>
    </w:p>
    <w:p>
      <w:pPr>
        <w:pStyle w:val="0"/>
        <w:spacing w:line="300" w:lineRule="exac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その他</w:t>
      </w:r>
    </w:p>
    <w:p>
      <w:pPr>
        <w:pStyle w:val="0"/>
        <w:spacing w:line="300" w:lineRule="exact"/>
        <w:ind w:left="472" w:right="-343" w:rightChars="-159" w:hanging="472" w:hangingChars="200"/>
        <w:rPr>
          <w:rFonts w:hint="eastAsia" w:ascii="ＭＳ 明朝" w:hAnsi="ＭＳ 明朝"/>
          <w:sz w:val="24"/>
        </w:rPr>
      </w:pPr>
      <w:r>
        <w:rPr>
          <w:rFonts w:hint="eastAsia" w:ascii="ＭＳ 明朝" w:hAnsi="ＭＳ 明朝"/>
          <w:sz w:val="24"/>
        </w:rPr>
        <w:t>　性別及び年代によるクロス集計を行ったところ以下のとおりの傾向が見られた。</w:t>
      </w:r>
    </w:p>
    <w:p>
      <w:pPr>
        <w:pStyle w:val="0"/>
        <w:numPr>
          <w:ilvl w:val="0"/>
          <w:numId w:val="133"/>
        </w:numPr>
        <w:spacing w:line="300" w:lineRule="exact"/>
        <w:ind w:right="-343" w:rightChars="-159"/>
        <w:rPr>
          <w:rFonts w:hint="eastAsia" w:ascii="ＭＳ 明朝" w:hAnsi="ＭＳ 明朝"/>
          <w:sz w:val="24"/>
        </w:rPr>
      </w:pPr>
      <w:r>
        <w:rPr>
          <w:rFonts w:hint="eastAsia" w:ascii="ＭＳ 明朝" w:hAnsi="ＭＳ 明朝"/>
          <w:sz w:val="24"/>
        </w:rPr>
        <w:t>条例や合理的配慮</w:t>
      </w:r>
      <w:r>
        <w:rPr>
          <w:rFonts w:hint="eastAsia"/>
          <w:color w:val="000000" w:themeColor="text1"/>
          <w:spacing w:val="-4"/>
          <w:kern w:val="0"/>
          <w:vertAlign w:val="superscript"/>
        </w:rPr>
        <w:t>＊</w:t>
      </w:r>
      <w:r>
        <w:rPr>
          <w:rFonts w:hint="eastAsia" w:ascii="ＭＳ 明朝" w:hAnsi="ＭＳ 明朝"/>
          <w:sz w:val="24"/>
        </w:rPr>
        <w:t>等の認知度は男女による差は少ないが、</w:t>
      </w:r>
      <w:r>
        <w:rPr>
          <w:rFonts w:hint="eastAsia" w:ascii="ＭＳ 明朝" w:hAnsi="ＭＳ 明朝"/>
          <w:sz w:val="24"/>
        </w:rPr>
        <w:t>60</w:t>
      </w:r>
      <w:r>
        <w:rPr>
          <w:rFonts w:hint="eastAsia" w:ascii="ＭＳ 明朝" w:hAnsi="ＭＳ 明朝"/>
          <w:sz w:val="24"/>
        </w:rPr>
        <w:t>歳代以降の世代が比較的高い。</w:t>
      </w:r>
    </w:p>
    <w:p>
      <w:pPr>
        <w:pStyle w:val="0"/>
        <w:numPr>
          <w:ilvl w:val="0"/>
          <w:numId w:val="133"/>
        </w:numPr>
        <w:spacing w:line="300" w:lineRule="exact"/>
        <w:ind w:right="-343" w:rightChars="-159"/>
        <w:rPr>
          <w:rFonts w:hint="eastAsia"/>
        </w:rPr>
      </w:pPr>
      <w:r>
        <w:rPr>
          <w:rFonts w:hint="eastAsia" w:ascii="ＭＳ 明朝" w:hAnsi="ＭＳ 明朝"/>
          <w:sz w:val="24"/>
        </w:rPr>
        <w:t>「ヘルプマーク」の認知度は、「見たこともあり、意味も知っている」と答えた方は、女性が</w:t>
      </w:r>
      <w:r>
        <w:rPr>
          <w:rFonts w:hint="eastAsia" w:ascii="ＭＳ 明朝" w:hAnsi="ＭＳ 明朝"/>
          <w:sz w:val="24"/>
        </w:rPr>
        <w:t>59.6</w:t>
      </w:r>
      <w:r>
        <w:rPr>
          <w:rFonts w:hint="eastAsia" w:ascii="ＭＳ 明朝" w:hAnsi="ＭＳ 明朝"/>
          <w:sz w:val="24"/>
        </w:rPr>
        <w:t>％であるのに対して、男性が</w:t>
      </w:r>
      <w:r>
        <w:rPr>
          <w:rFonts w:hint="eastAsia" w:ascii="ＭＳ 明朝" w:hAnsi="ＭＳ 明朝"/>
          <w:sz w:val="24"/>
        </w:rPr>
        <w:t>40.3</w:t>
      </w:r>
      <w:r>
        <w:rPr>
          <w:rFonts w:hint="eastAsia" w:ascii="ＭＳ 明朝" w:hAnsi="ＭＳ 明朝"/>
          <w:sz w:val="24"/>
        </w:rPr>
        <w:t>％と男女差が見られた。</w:t>
      </w:r>
    </w:p>
    <w:p>
      <w:pPr>
        <w:pStyle w:val="0"/>
        <w:tabs>
          <w:tab w:val="clear" w:pos="6987"/>
        </w:tabs>
        <w:autoSpaceDE w:val="0"/>
        <w:autoSpaceDN w:val="0"/>
        <w:adjustRightInd w:val="0"/>
        <w:jc w:val="left"/>
        <w:rPr>
          <w:rFonts w:hint="default"/>
        </w:rPr>
      </w:pPr>
    </w:p>
    <w:p>
      <w:pPr>
        <w:pStyle w:val="0"/>
        <w:autoSpaceDE w:val="0"/>
        <w:autoSpaceDN w:val="0"/>
        <w:adjustRightInd w:val="0"/>
        <w:jc w:val="left"/>
        <w:rPr>
          <w:rFonts w:hint="default"/>
        </w:rPr>
        <w:sectPr>
          <w:headerReference r:id="rId45" w:type="even"/>
          <w:headerReference r:id="rId46" w:type="default"/>
          <w:headerReference r:id="rId44" w:type="first"/>
          <w:type w:val="continuous"/>
          <w:pgSz w:w="11906" w:h="16838"/>
          <w:pgMar w:top="1134" w:right="1021" w:bottom="1134" w:left="1134" w:header="284" w:footer="284" w:gutter="0"/>
          <w:cols w:space="720"/>
          <w:textDirection w:val="lrTb"/>
          <w:docGrid w:type="lines" w:linePitch="383" w:charSpace="55953"/>
        </w:sectPr>
      </w:pPr>
      <w:r>
        <w:rPr>
          <w:rFonts w:hint="eastAsia"/>
        </w:rPr>
        <w:br w:type="page"/>
      </w:r>
    </w:p>
    <w:p>
      <w:pPr>
        <w:pStyle w:val="2"/>
        <w:rPr>
          <w:rFonts w:hint="eastAsia"/>
          <w:sz w:val="32"/>
        </w:rPr>
      </w:pPr>
      <w:r>
        <w:rPr>
          <w:rFonts w:hint="eastAsia"/>
          <w:sz w:val="32"/>
        </w:rPr>
        <w:t>資料７　用語の説明</w:t>
      </w:r>
    </w:p>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【あ行】</w:t>
      </w:r>
    </w:p>
    <w:p>
      <w:pPr>
        <w:pStyle w:val="0"/>
        <w:numPr>
          <w:ilvl w:val="0"/>
          <w:numId w:val="134"/>
        </w:numPr>
        <w:jc w:val="left"/>
        <w:rPr>
          <w:rFonts w:hint="eastAsia" w:ascii="ＭＳ ゴシック" w:hAnsi="ＭＳ ゴシック" w:eastAsia="ＭＳ ゴシック"/>
        </w:rPr>
      </w:pPr>
      <w:r>
        <w:rPr>
          <w:rFonts w:hint="eastAsia" w:ascii="ＭＳ ゴシック" w:hAnsi="ＭＳ ゴシック" w:eastAsia="ＭＳ ゴシック"/>
        </w:rPr>
        <w:t>愛の援聴週間</w:t>
      </w:r>
      <w:r>
        <w:rPr>
          <w:rFonts w:hint="eastAsia" w:ascii="ＭＳ ゴシック" w:hAnsi="ＭＳ ゴシック" w:eastAsia="ＭＳ ゴシック"/>
        </w:rPr>
        <w:br w:type="textWrapping" w:clear="none"/>
      </w:r>
      <w:r>
        <w:rPr>
          <w:rFonts w:hint="eastAsia"/>
        </w:rPr>
        <w:t>聴覚に障害のある人に対する県民の理解を深めることを目的とした週間。３月３日（耳の日）から９日まで、聴覚障害に関する様々な啓発活動を実施している。</w:t>
      </w:r>
    </w:p>
    <w:p>
      <w:pPr>
        <w:pStyle w:val="0"/>
        <w:numPr>
          <w:ilvl w:val="0"/>
          <w:numId w:val="134"/>
        </w:numPr>
        <w:jc w:val="left"/>
        <w:rPr>
          <w:rFonts w:hint="eastAsia"/>
        </w:rPr>
      </w:pPr>
      <w:r>
        <w:rPr>
          <w:rFonts w:hint="eastAsia" w:ascii="ＭＳ ゴシック" w:hAnsi="ＭＳ ゴシック" w:eastAsia="ＭＳ ゴシック"/>
        </w:rPr>
        <w:t>移動介護従業者</w:t>
      </w:r>
    </w:p>
    <w:p>
      <w:pPr>
        <w:pStyle w:val="0"/>
        <w:numPr>
          <w:numId w:val="0"/>
        </w:numPr>
        <w:ind w:left="576" w:leftChars="0" w:firstLine="0" w:firstLineChars="0"/>
        <w:jc w:val="left"/>
        <w:rPr>
          <w:rFonts w:hint="eastAsia"/>
        </w:rPr>
      </w:pPr>
      <w:r>
        <w:rPr>
          <w:rFonts w:hint="eastAsia" w:ascii="ＭＳ 明朝" w:hAnsi="ＭＳ 明朝" w:eastAsia="ＭＳ 明朝"/>
        </w:rPr>
        <w:t>脳性麻痺者等全身性障害のある人等の移動を支援する者。</w:t>
      </w:r>
    </w:p>
    <w:p>
      <w:pPr>
        <w:pStyle w:val="0"/>
        <w:numPr>
          <w:ilvl w:val="0"/>
          <w:numId w:val="134"/>
        </w:numPr>
        <w:jc w:val="left"/>
        <w:rPr>
          <w:rFonts w:hint="eastAsia"/>
        </w:rPr>
      </w:pPr>
      <w:r>
        <w:rPr>
          <w:rFonts w:hint="eastAsia"/>
        </w:rPr>
        <w:t>医療的ケア児（者）</w:t>
      </w:r>
    </w:p>
    <w:p>
      <w:pPr>
        <w:pStyle w:val="0"/>
        <w:numPr>
          <w:numId w:val="0"/>
        </w:numPr>
        <w:ind w:left="576" w:leftChars="0" w:firstLine="0" w:firstLineChars="0"/>
        <w:jc w:val="left"/>
        <w:rPr>
          <w:rFonts w:hint="eastAsia"/>
        </w:rPr>
      </w:pPr>
      <w:r>
        <w:rPr>
          <w:rFonts w:hint="eastAsia"/>
        </w:rPr>
        <w:t>日常生活及び社会生活を営むために恒常的に医療的ケア</w:t>
      </w:r>
      <w:r>
        <w:rPr>
          <w:rFonts w:hint="eastAsia"/>
        </w:rPr>
        <w:t>(</w:t>
      </w:r>
      <w:r>
        <w:rPr>
          <w:rFonts w:hint="eastAsia"/>
        </w:rPr>
        <w:t>人工呼吸器による呼吸管理、喀痰吸引その他の医療行為</w:t>
      </w:r>
      <w:r>
        <w:rPr>
          <w:rFonts w:hint="eastAsia"/>
        </w:rPr>
        <w:t>)</w:t>
      </w:r>
      <w:r>
        <w:rPr>
          <w:rFonts w:hint="eastAsia"/>
        </w:rPr>
        <w:t>を受けることが不可欠である児（者）</w:t>
      </w:r>
    </w:p>
    <w:p>
      <w:pPr>
        <w:pStyle w:val="0"/>
        <w:numPr>
          <w:ilvl w:val="0"/>
          <w:numId w:val="134"/>
        </w:numPr>
        <w:jc w:val="left"/>
        <w:rPr>
          <w:rFonts w:hint="eastAsia"/>
        </w:rPr>
      </w:pPr>
      <w:r>
        <w:rPr>
          <w:rFonts w:hint="eastAsia" w:ascii="ＭＳ ゴシック" w:hAnsi="ＭＳ ゴシック" w:eastAsia="ＭＳ ゴシック"/>
        </w:rPr>
        <w:t>医療的ケア児等支援センター</w:t>
      </w:r>
    </w:p>
    <w:p>
      <w:pPr>
        <w:pStyle w:val="0"/>
        <w:numPr>
          <w:numId w:val="0"/>
        </w:numPr>
        <w:ind w:left="576" w:leftChars="0" w:firstLine="0" w:firstLineChars="0"/>
        <w:jc w:val="left"/>
        <w:rPr>
          <w:rFonts w:hint="eastAsia"/>
        </w:rPr>
      </w:pPr>
      <w:r>
        <w:rPr>
          <w:rFonts w:hint="eastAsia"/>
        </w:rPr>
        <w:t>「医療的ケア児及びその家族に対する支援に関する法律」に基づき都道府県が設置する機関。医療的ケア児及びその家族への相談・情報提供のほか、関係機関等への情報提供、研修、関係機関との連携体制の構築を行う。</w:t>
      </w:r>
    </w:p>
    <w:p>
      <w:pPr>
        <w:pStyle w:val="0"/>
        <w:numPr>
          <w:ilvl w:val="0"/>
          <w:numId w:val="134"/>
        </w:numPr>
        <w:jc w:val="left"/>
        <w:rPr>
          <w:rFonts w:hint="eastAsia"/>
        </w:rPr>
      </w:pPr>
      <w:r>
        <w:rPr>
          <w:rFonts w:hint="eastAsia" w:ascii="ＭＳ ゴシック" w:hAnsi="ＭＳ ゴシック" w:eastAsia="ＭＳ ゴシック"/>
        </w:rPr>
        <w:t>医療的ケア児等コーディネーター</w:t>
      </w:r>
    </w:p>
    <w:p>
      <w:pPr>
        <w:pStyle w:val="0"/>
        <w:numPr>
          <w:numId w:val="0"/>
        </w:numPr>
        <w:ind w:left="576" w:leftChars="0" w:firstLine="0" w:firstLineChars="0"/>
        <w:jc w:val="left"/>
        <w:rPr>
          <w:rFonts w:hint="eastAsia"/>
        </w:rPr>
      </w:pPr>
      <w:r>
        <w:rPr>
          <w:rFonts w:hint="eastAsia"/>
        </w:rPr>
        <w:t>医療的ケア児等が必要とする多分野にまたがる支援の利用を調整し、総合的かつ包括的な支援の提供につなげるとともに、地域における課題の整理や地域資源の開発等を行いながら、医療的ケア児等に対する支援のための地域づくりを推進する者</w:t>
      </w:r>
    </w:p>
    <w:p>
      <w:pPr>
        <w:pStyle w:val="0"/>
        <w:numPr>
          <w:ilvl w:val="0"/>
          <w:numId w:val="134"/>
        </w:numPr>
        <w:jc w:val="left"/>
        <w:rPr>
          <w:rFonts w:hint="eastAsia"/>
        </w:rPr>
      </w:pPr>
      <w:r>
        <w:rPr>
          <w:rFonts w:hint="eastAsia" w:ascii="ＭＳ ゴシック" w:hAnsi="ＭＳ ゴシック" w:eastAsia="ＭＳ ゴシック"/>
        </w:rPr>
        <w:t>インクルーシブ教育システム</w:t>
      </w:r>
      <w:r>
        <w:rPr>
          <w:rFonts w:hint="default" w:ascii="ＭＳ ゴシック" w:hAnsi="ＭＳ ゴシック" w:eastAsia="ＭＳ ゴシック"/>
        </w:rPr>
        <w:br w:type="textWrapping" w:clear="none"/>
      </w:r>
      <w:r>
        <w:rPr>
          <w:rFonts w:hint="eastAsia"/>
        </w:rPr>
        <w:t>障害の有無による分け隔てのない共生社会の実現に向け、障害のある子どもの特性を踏まえた十分な教育が受けられるように合理的配慮及び必要な支援が提供されることにより、障害のある子どもとない子どもが共に学んでいく教育。</w:t>
      </w:r>
    </w:p>
    <w:p>
      <w:pPr>
        <w:pStyle w:val="0"/>
        <w:numPr>
          <w:ilvl w:val="0"/>
          <w:numId w:val="134"/>
        </w:numPr>
        <w:jc w:val="left"/>
        <w:rPr>
          <w:rFonts w:hint="eastAsia"/>
        </w:rPr>
      </w:pPr>
      <w:r>
        <w:rPr>
          <w:rFonts w:hint="eastAsia" w:ascii="ＭＳ ゴシック" w:hAnsi="ＭＳ ゴシック" w:eastAsia="ＭＳ ゴシック"/>
        </w:rPr>
        <w:t>ウェブアクセシビリティ方針</w:t>
      </w:r>
    </w:p>
    <w:p>
      <w:pPr>
        <w:pStyle w:val="0"/>
        <w:numPr>
          <w:numId w:val="0"/>
        </w:numPr>
        <w:ind w:left="576" w:leftChars="0" w:firstLine="0" w:firstLineChars="0"/>
        <w:jc w:val="left"/>
        <w:rPr>
          <w:rFonts w:hint="eastAsia"/>
        </w:rPr>
      </w:pPr>
      <w:r>
        <w:rPr>
          <w:rFonts w:hint="eastAsia"/>
        </w:rPr>
        <w:t>高齢の方や障害のある方を含め、誰もがホームページ等で提供される情報や機能を支障なく利用できるよう定めた方針。本県では平成</w:t>
      </w:r>
      <w:r>
        <w:rPr>
          <w:rFonts w:hint="eastAsia"/>
        </w:rPr>
        <w:t>25</w:t>
      </w:r>
      <w:r>
        <w:rPr>
          <w:rFonts w:hint="eastAsia"/>
        </w:rPr>
        <w:t>年３月に静岡県公式ホームページのウェブアクセシビリティ方針を定めて運用している。</w:t>
      </w:r>
    </w:p>
    <w:p>
      <w:pPr>
        <w:pStyle w:val="0"/>
        <w:numPr>
          <w:ilvl w:val="0"/>
          <w:numId w:val="134"/>
        </w:numPr>
        <w:jc w:val="left"/>
        <w:rPr>
          <w:rFonts w:hint="eastAsia"/>
        </w:rPr>
      </w:pPr>
      <w:r>
        <w:rPr>
          <w:rFonts w:hint="eastAsia" w:ascii="ＭＳ ゴシック" w:hAnsi="ＭＳ ゴシック" w:eastAsia="ＭＳ ゴシック"/>
        </w:rPr>
        <w:t>運営適正化委員会</w:t>
      </w:r>
      <w:r>
        <w:rPr>
          <w:rFonts w:hint="default" w:ascii="ＭＳ ゴシック" w:hAnsi="ＭＳ ゴシック" w:eastAsia="ＭＳ ゴシック"/>
        </w:rPr>
        <w:br w:type="textWrapping" w:clear="none"/>
      </w:r>
      <w:r>
        <w:rPr>
          <w:rFonts w:hint="eastAsia"/>
          <w:color w:val="auto"/>
          <w:highlight w:val="none"/>
        </w:rPr>
        <w:t>社会福祉法に基づき、</w:t>
      </w:r>
      <w:r>
        <w:rPr>
          <w:rFonts w:hint="eastAsia"/>
        </w:rPr>
        <w:t>福祉サービス利用援助事業（日常生活自立支援事業）の適正な運営を確保し、福祉サービスに関する利用者等からの苦情を適切に解決するため、県社会福祉協議会に設置されている。</w:t>
      </w:r>
    </w:p>
    <w:p>
      <w:pPr>
        <w:pStyle w:val="0"/>
        <w:numPr>
          <w:ilvl w:val="0"/>
          <w:numId w:val="134"/>
        </w:numPr>
        <w:jc w:val="left"/>
        <w:rPr>
          <w:rFonts w:hint="eastAsia"/>
        </w:rPr>
      </w:pPr>
      <w:r>
        <w:rPr>
          <w:rFonts w:hint="eastAsia" w:ascii="ＭＳ ゴシック" w:hAnsi="ＭＳ ゴシック" w:eastAsia="ＭＳ ゴシック"/>
        </w:rPr>
        <w:t>エシカル消費</w:t>
      </w:r>
    </w:p>
    <w:p>
      <w:pPr>
        <w:pStyle w:val="0"/>
        <w:numPr>
          <w:numId w:val="0"/>
        </w:numPr>
        <w:ind w:left="576" w:leftChars="0" w:firstLine="0" w:firstLineChars="0"/>
        <w:jc w:val="left"/>
        <w:rPr>
          <w:rFonts w:hint="eastAsia"/>
        </w:rPr>
      </w:pPr>
      <w:r>
        <w:rPr>
          <w:rFonts w:hint="eastAsia"/>
        </w:rPr>
        <w:t>人や社会・環境に配慮した消費行動。エシカル消費には、フェアトレード商品、授産品、地場産品、環境認証ラベルのついた商品、リサイクル商品の購入のほか、食品ロスの削減など様々な消費行動が含まれる。</w:t>
      </w:r>
    </w:p>
    <w:p>
      <w:pPr>
        <w:pStyle w:val="0"/>
        <w:numPr>
          <w:ilvl w:val="0"/>
          <w:numId w:val="134"/>
        </w:numPr>
        <w:jc w:val="left"/>
        <w:rPr>
          <w:rFonts w:hint="eastAsia" w:ascii="ＭＳ ゴシック" w:hAnsi="ＭＳ ゴシック" w:eastAsia="ＭＳ ゴシック"/>
          <w:sz w:val="26"/>
        </w:rPr>
      </w:pPr>
      <w:r>
        <w:rPr>
          <w:rFonts w:hint="eastAsia" w:ascii="ＭＳ ゴシック" w:hAnsi="ＭＳ ゴシック" w:eastAsia="ＭＳ ゴシック"/>
        </w:rPr>
        <w:t>ＮＰＯ（</w:t>
      </w:r>
      <w:r>
        <w:rPr>
          <w:rFonts w:hint="eastAsia" w:ascii="ＭＳ ゴシック" w:hAnsi="ＭＳ ゴシック" w:eastAsia="ＭＳ ゴシック"/>
        </w:rPr>
        <w:t>NonProfitOrganization</w:t>
      </w:r>
      <w:r>
        <w:rPr>
          <w:rFonts w:hint="eastAsia" w:ascii="ＭＳ ゴシック" w:hAnsi="ＭＳ ゴシック" w:eastAsia="ＭＳ ゴシック"/>
        </w:rPr>
        <w:t>）</w:t>
      </w:r>
      <w:r>
        <w:rPr>
          <w:rFonts w:hint="default" w:ascii="ＭＳ ゴシック" w:hAnsi="ＭＳ ゴシック" w:eastAsia="ＭＳ ゴシック"/>
        </w:rPr>
        <w:br w:type="textWrapping" w:clear="none"/>
      </w:r>
      <w:r>
        <w:rPr>
          <w:rFonts w:hint="eastAsia"/>
        </w:rPr>
        <w:t>非営利組織のこと。市民が主体となって、自発的、継続的に社会貢献活動を行う、営利を目的としない組織の総称。なお、特定非営利活動促進法（ＮＰＯ法）に基づいて、法人格を取得した組織を特定非営利活動法人（ＮＰＯ法人）という。</w:t>
      </w:r>
    </w:p>
    <w:p>
      <w:pPr>
        <w:pStyle w:val="0"/>
        <w:numPr>
          <w:numId w:val="0"/>
        </w:numPr>
        <w:ind w:left="576" w:leftChars="0" w:firstLine="0" w:firstLineChars="0"/>
        <w:jc w:val="left"/>
        <w:rPr>
          <w:rFonts w:hint="eastAsia" w:ascii="ＭＳ ゴシック" w:hAnsi="ＭＳ ゴシック" w:eastAsia="ＭＳ ゴシック"/>
          <w:sz w:val="26"/>
        </w:rPr>
      </w:pPr>
    </w:p>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【か行】</w:t>
      </w:r>
    </w:p>
    <w:p>
      <w:pPr>
        <w:pStyle w:val="0"/>
        <w:numPr>
          <w:ilvl w:val="0"/>
          <w:numId w:val="134"/>
        </w:numPr>
        <w:jc w:val="left"/>
        <w:rPr>
          <w:rFonts w:hint="eastAsia"/>
        </w:rPr>
      </w:pPr>
      <w:r>
        <w:rPr>
          <w:rFonts w:hint="eastAsia" w:ascii="ＭＳ ゴシック" w:hAnsi="ＭＳ ゴシック" w:eastAsia="ＭＳ ゴシック"/>
        </w:rPr>
        <w:t>介護保険制度</w:t>
      </w:r>
      <w:r>
        <w:rPr>
          <w:rFonts w:hint="default" w:ascii="ＭＳ ゴシック" w:hAnsi="ＭＳ ゴシック" w:eastAsia="ＭＳ ゴシック"/>
        </w:rPr>
        <w:br w:type="textWrapping" w:clear="none"/>
      </w:r>
      <w:r>
        <w:rPr>
          <w:rFonts w:hint="eastAsia"/>
        </w:rPr>
        <w:t>加齢に伴って生ずる心身の変化により、介護を必要とする状態になった人について、その有する能力に応じ、自立した日常生活を営むことができるように国民の共同連帯の理念に基づいて、必要な保健医療サービス及び福祉サービスに係る給付を行う制度。</w:t>
      </w:r>
    </w:p>
    <w:p>
      <w:pPr>
        <w:pStyle w:val="0"/>
        <w:numPr>
          <w:ilvl w:val="0"/>
          <w:numId w:val="134"/>
        </w:numPr>
        <w:jc w:val="left"/>
        <w:rPr>
          <w:rFonts w:hint="eastAsia"/>
        </w:rPr>
      </w:pPr>
      <w:r>
        <w:rPr>
          <w:rFonts w:hint="eastAsia" w:ascii="ＭＳ ゴシック" w:hAnsi="ＭＳ ゴシック" w:eastAsia="ＭＳ ゴシック"/>
        </w:rPr>
        <w:t>介助犬</w:t>
      </w:r>
      <w:r>
        <w:rPr>
          <w:rFonts w:hint="default" w:ascii="ＭＳ ゴシック" w:hAnsi="ＭＳ ゴシック" w:eastAsia="ＭＳ ゴシック"/>
        </w:rPr>
        <w:br w:type="textWrapping" w:clear="none"/>
      </w:r>
      <w:r>
        <w:rPr>
          <w:rFonts w:hint="eastAsia"/>
        </w:rPr>
        <w:t>肢体に障害がある人の日常生活動作を介助することができるように物の拾い上げや運搬、着脱衣の補助、起立及び歩行の際の支持、扉の開閉などを行なうために特別な訓練を受けた犬。</w:t>
      </w:r>
    </w:p>
    <w:p>
      <w:pPr>
        <w:pStyle w:val="0"/>
        <w:numPr>
          <w:ilvl w:val="0"/>
          <w:numId w:val="134"/>
        </w:numPr>
        <w:jc w:val="left"/>
        <w:rPr>
          <w:rFonts w:hint="eastAsia"/>
        </w:rPr>
      </w:pPr>
      <w:r>
        <w:rPr>
          <w:rFonts w:hint="eastAsia" w:ascii="ＭＳ ゴシック" w:hAnsi="ＭＳ ゴシック" w:eastAsia="ＭＳ ゴシック"/>
        </w:rPr>
        <w:t>学習障害（</w:t>
      </w:r>
      <w:r>
        <w:rPr>
          <w:rFonts w:hint="eastAsia" w:ascii="ＭＳ ゴシック" w:hAnsi="ＭＳ ゴシック" w:eastAsia="ＭＳ ゴシック"/>
        </w:rPr>
        <w:t>LD</w:t>
      </w:r>
      <w:r>
        <w:rPr>
          <w:rFonts w:hint="eastAsia" w:ascii="ＭＳ ゴシック" w:hAnsi="ＭＳ ゴシック" w:eastAsia="ＭＳ ゴシック"/>
        </w:rPr>
        <w:t>＝</w:t>
      </w:r>
      <w:r>
        <w:rPr>
          <w:rFonts w:hint="eastAsia" w:ascii="ＭＳ ゴシック" w:hAnsi="ＭＳ ゴシック" w:eastAsia="ＭＳ ゴシック"/>
        </w:rPr>
        <w:t>LearningDisabilities</w:t>
      </w:r>
      <w:r>
        <w:rPr>
          <w:rFonts w:hint="eastAsia" w:ascii="ＭＳ ゴシック" w:hAnsi="ＭＳ ゴシック" w:eastAsia="ＭＳ ゴシック"/>
        </w:rPr>
        <w:t>）</w:t>
      </w:r>
      <w:r>
        <w:rPr>
          <w:rFonts w:hint="default" w:ascii="ＭＳ ゴシック" w:hAnsi="ＭＳ ゴシック" w:eastAsia="ＭＳ ゴシック"/>
        </w:rPr>
        <w:br w:type="textWrapping" w:clear="none"/>
      </w:r>
      <w:r>
        <w:rPr>
          <w:rFonts w:hint="eastAsia"/>
        </w:rPr>
        <w:t>全般的な知的発達に遅れはないが、聞く、話す、読む、書く、計算する、推論するなどの能力のうち特定の能力の習得と使用に著しい困難を示す様々な状態。</w:t>
      </w:r>
    </w:p>
    <w:p>
      <w:pPr>
        <w:pStyle w:val="0"/>
        <w:numPr>
          <w:ilvl w:val="0"/>
          <w:numId w:val="134"/>
        </w:numPr>
        <w:jc w:val="left"/>
        <w:rPr>
          <w:rFonts w:hint="eastAsia"/>
        </w:rPr>
      </w:pPr>
      <w:r>
        <w:rPr>
          <w:rFonts w:hint="eastAsia" w:ascii="ＭＳ ゴシック" w:hAnsi="ＭＳ ゴシック" w:eastAsia="ＭＳ ゴシック"/>
        </w:rPr>
        <w:t>家族等支援事業</w:t>
      </w:r>
    </w:p>
    <w:p>
      <w:pPr>
        <w:pStyle w:val="0"/>
        <w:numPr>
          <w:numId w:val="0"/>
        </w:numPr>
        <w:ind w:left="576" w:leftChars="0" w:firstLine="0" w:firstLineChars="0"/>
        <w:jc w:val="left"/>
        <w:rPr>
          <w:rFonts w:hint="eastAsia"/>
        </w:rPr>
      </w:pPr>
      <w:r>
        <w:rPr>
          <w:rFonts w:hint="eastAsia"/>
        </w:rPr>
        <w:t>ペアレントメンター（発達障害のある子の子育て経験があり、相談支援に関する一定の研修を受けた者）やピアサポート（当事者や保護者同士の交流や共同作業による悩みの共有や支え合い）活動支援者の養成及び活用などにより、当事者及びその家族を支援する事業</w:t>
      </w:r>
    </w:p>
    <w:p>
      <w:pPr>
        <w:pStyle w:val="0"/>
        <w:numPr>
          <w:ilvl w:val="0"/>
          <w:numId w:val="134"/>
        </w:numPr>
        <w:jc w:val="left"/>
        <w:rPr>
          <w:rFonts w:hint="eastAsia"/>
        </w:rPr>
      </w:pPr>
      <w:r>
        <w:rPr>
          <w:rFonts w:hint="eastAsia" w:ascii="ＭＳ ゴシック" w:hAnsi="ＭＳ ゴシック" w:eastAsia="ＭＳ ゴシック"/>
        </w:rPr>
        <w:t>基幹相談支援センター</w:t>
      </w:r>
    </w:p>
    <w:p>
      <w:pPr>
        <w:pStyle w:val="0"/>
        <w:numPr>
          <w:numId w:val="0"/>
        </w:numPr>
        <w:ind w:left="576" w:leftChars="0" w:firstLine="0" w:firstLineChars="0"/>
        <w:jc w:val="left"/>
        <w:rPr>
          <w:rFonts w:hint="eastAsia"/>
        </w:rPr>
      </w:pPr>
      <w:r>
        <w:rPr>
          <w:rFonts w:hint="eastAsia"/>
        </w:rPr>
        <w:t>相談支援の機能強化のため、総合的かつ専門的な相談支援や地域課題への対応、地域における人材育成等を実施する機関。</w:t>
      </w:r>
    </w:p>
    <w:p>
      <w:pPr>
        <w:pStyle w:val="0"/>
        <w:numPr>
          <w:ilvl w:val="0"/>
          <w:numId w:val="134"/>
        </w:numPr>
        <w:jc w:val="left"/>
        <w:rPr>
          <w:rFonts w:hint="eastAsia"/>
        </w:rPr>
      </w:pPr>
      <w:r>
        <w:rPr>
          <w:rFonts w:hint="eastAsia" w:ascii="ＭＳ ゴシック" w:hAnsi="ＭＳ ゴシック" w:eastAsia="ＭＳ ゴシック"/>
        </w:rPr>
        <w:t>基準該当障害福祉サービス</w:t>
      </w:r>
      <w:r>
        <w:rPr>
          <w:rFonts w:hint="default" w:ascii="ＭＳ ゴシック" w:hAnsi="ＭＳ ゴシック" w:eastAsia="ＭＳ ゴシック"/>
        </w:rPr>
        <w:br w:type="textWrapping" w:clear="none"/>
      </w:r>
      <w:r>
        <w:rPr>
          <w:rFonts w:hint="eastAsia"/>
        </w:rPr>
        <w:t>指定障害福祉サービスとしての基準は満たしていないものの、介護保険事業所等の基準を満たす事業所であって、市町が認めた場合に限り、特例的に給付費を受けながら実施することができる障害福祉サービスのこと。</w:t>
      </w:r>
    </w:p>
    <w:p>
      <w:pPr>
        <w:pStyle w:val="0"/>
        <w:numPr>
          <w:ilvl w:val="0"/>
          <w:numId w:val="134"/>
        </w:numPr>
        <w:jc w:val="left"/>
        <w:rPr>
          <w:rFonts w:hint="eastAsia"/>
        </w:rPr>
      </w:pPr>
      <w:r>
        <w:rPr>
          <w:rFonts w:hint="eastAsia" w:ascii="ＭＳ ゴシック" w:hAnsi="ＭＳ ゴシック" w:eastAsia="ＭＳ ゴシック"/>
        </w:rPr>
        <w:t>共生型サービス</w:t>
      </w:r>
    </w:p>
    <w:p>
      <w:pPr>
        <w:pStyle w:val="0"/>
        <w:numPr>
          <w:numId w:val="0"/>
        </w:numPr>
        <w:ind w:left="576" w:leftChars="0" w:firstLine="0" w:firstLineChars="0"/>
        <w:jc w:val="left"/>
        <w:rPr>
          <w:rFonts w:hint="eastAsia"/>
        </w:rPr>
      </w:pPr>
      <w:r>
        <w:rPr>
          <w:rFonts w:hint="eastAsia" w:ascii="ＭＳ 明朝" w:hAnsi="ＭＳ 明朝" w:eastAsia="ＭＳ 明朝"/>
        </w:rPr>
        <w:t>ホームヘルプサービス、デイサービス、ショートステイなどについて、高齢者や障害のある人が共に利用できるサービス。</w:t>
      </w:r>
    </w:p>
    <w:p>
      <w:pPr>
        <w:pStyle w:val="0"/>
        <w:numPr>
          <w:ilvl w:val="0"/>
          <w:numId w:val="134"/>
        </w:numPr>
        <w:jc w:val="left"/>
        <w:rPr>
          <w:rFonts w:hint="eastAsia"/>
        </w:rPr>
      </w:pPr>
      <w:r>
        <w:rPr>
          <w:rFonts w:hint="eastAsia" w:ascii="ＭＳ ゴシック" w:hAnsi="ＭＳ ゴシック" w:eastAsia="ＭＳ ゴシック"/>
        </w:rPr>
        <w:t>矯正施設</w:t>
      </w:r>
    </w:p>
    <w:p>
      <w:pPr>
        <w:pStyle w:val="0"/>
        <w:numPr>
          <w:numId w:val="0"/>
        </w:numPr>
        <w:ind w:left="576" w:leftChars="0" w:firstLine="0" w:firstLineChars="0"/>
        <w:jc w:val="left"/>
        <w:rPr>
          <w:rFonts w:hint="eastAsia"/>
        </w:rPr>
      </w:pPr>
      <w:r>
        <w:rPr>
          <w:rFonts w:hint="eastAsia"/>
        </w:rPr>
        <w:t>刑務所、少年刑務所、拘置所及び少年院を指す。</w:t>
      </w:r>
    </w:p>
    <w:p>
      <w:pPr>
        <w:pStyle w:val="0"/>
        <w:numPr>
          <w:ilvl w:val="0"/>
          <w:numId w:val="134"/>
        </w:numPr>
        <w:jc w:val="left"/>
        <w:rPr>
          <w:rFonts w:hint="eastAsia"/>
        </w:rPr>
      </w:pPr>
      <w:r>
        <w:rPr>
          <w:rFonts w:hint="eastAsia" w:ascii="ＭＳ ゴシック" w:hAnsi="ＭＳ ゴシック" w:eastAsia="ＭＳ ゴシック"/>
        </w:rPr>
        <w:t>強度行動障害</w:t>
      </w:r>
      <w:r>
        <w:rPr>
          <w:rFonts w:hint="default" w:ascii="ＭＳ ゴシック" w:hAnsi="ＭＳ ゴシック" w:eastAsia="ＭＳ ゴシック"/>
        </w:rPr>
        <w:br w:type="textWrapping" w:clear="none"/>
      </w:r>
      <w:r>
        <w:rPr>
          <w:rFonts w:hint="eastAsia"/>
        </w:rPr>
        <w:t>精神科的な診断ではなく、直接的他害（噛み付き、頭突き等）や、間接的他害（睡眠の乱れ、同一性の保持等）、自傷行為等が通常考えられない頻度と形式で出現し、その療育環境では著しく処遇の困難な</w:t>
      </w:r>
      <w:r>
        <w:rPr>
          <w:rFonts w:hint="eastAsia"/>
          <w:color w:val="auto"/>
          <w:highlight w:val="none"/>
        </w:rPr>
        <w:t>状態</w:t>
      </w:r>
      <w:r>
        <w:rPr>
          <w:rFonts w:hint="eastAsia"/>
        </w:rPr>
        <w:t>。</w:t>
      </w:r>
    </w:p>
    <w:p>
      <w:pPr>
        <w:pStyle w:val="0"/>
        <w:numPr>
          <w:ilvl w:val="0"/>
          <w:numId w:val="134"/>
        </w:numPr>
        <w:jc w:val="left"/>
        <w:rPr>
          <w:rFonts w:hint="eastAsia"/>
        </w:rPr>
      </w:pPr>
      <w:r>
        <w:rPr>
          <w:rFonts w:hint="eastAsia" w:ascii="ＭＳ ゴシック" w:hAnsi="ＭＳ ゴシック" w:eastAsia="ＭＳ ゴシック"/>
        </w:rPr>
        <w:t>業務管理体制</w:t>
      </w:r>
      <w:r>
        <w:rPr>
          <w:rFonts w:hint="eastAsia" w:ascii="ＭＳ ゴシック" w:hAnsi="ＭＳ ゴシック" w:eastAsia="ＭＳ ゴシック"/>
        </w:rPr>
        <w:br w:type="textWrapping" w:clear="none"/>
      </w:r>
      <w:r>
        <w:rPr>
          <w:rFonts w:hint="eastAsia"/>
        </w:rPr>
        <w:t>不正事案の発生防止の観点から、指定障害福祉サービス事業者等に対し、整備することが義務付けられている事業運営の適正化を図るための体制。</w:t>
      </w:r>
    </w:p>
    <w:p>
      <w:pPr>
        <w:pStyle w:val="0"/>
        <w:numPr>
          <w:ilvl w:val="0"/>
          <w:numId w:val="134"/>
        </w:numPr>
        <w:jc w:val="left"/>
        <w:rPr>
          <w:rFonts w:hint="eastAsia"/>
        </w:rPr>
      </w:pPr>
      <w:r>
        <w:rPr>
          <w:rFonts w:hint="eastAsia" w:ascii="ＭＳ ゴシック" w:hAnsi="ＭＳ ゴシック" w:eastAsia="ＭＳ ゴシック"/>
        </w:rPr>
        <w:t>居宅介護（ホームヘルプサービス）</w:t>
      </w:r>
      <w:r>
        <w:rPr>
          <w:rFonts w:hint="default" w:ascii="ＭＳ ゴシック" w:hAnsi="ＭＳ ゴシック" w:eastAsia="ＭＳ ゴシック"/>
        </w:rPr>
        <w:br w:type="textWrapping" w:clear="none"/>
      </w:r>
      <w:r>
        <w:rPr>
          <w:rFonts w:hint="eastAsia"/>
        </w:rPr>
        <w:t>障害のある人の家庭等にホームヘルパーを派遣して、入浴等の介護、家事援助等を提供するサービス。</w:t>
      </w:r>
    </w:p>
    <w:p>
      <w:pPr>
        <w:pStyle w:val="0"/>
        <w:numPr>
          <w:ilvl w:val="0"/>
          <w:numId w:val="134"/>
        </w:numPr>
        <w:jc w:val="left"/>
        <w:rPr>
          <w:rFonts w:hint="eastAsia"/>
        </w:rPr>
      </w:pPr>
      <w:r>
        <w:rPr>
          <w:rFonts w:hint="eastAsia" w:ascii="ＭＳ ゴシック" w:hAnsi="ＭＳ ゴシック" w:eastAsia="ＭＳ ゴシック"/>
        </w:rPr>
        <w:t>グループホーム（共同生活援助）</w:t>
      </w:r>
      <w:r>
        <w:rPr>
          <w:rFonts w:hint="default" w:ascii="ＭＳ ゴシック" w:hAnsi="ＭＳ ゴシック" w:eastAsia="ＭＳ ゴシック"/>
        </w:rPr>
        <w:br w:type="textWrapping" w:clear="none"/>
      </w:r>
      <w:r>
        <w:rPr>
          <w:rFonts w:hint="eastAsia"/>
        </w:rPr>
        <w:t>障害のある人が夜間や休日に共同生活を行う住居で、相談や日常生活における援助を行う施設。</w:t>
      </w:r>
    </w:p>
    <w:p>
      <w:pPr>
        <w:pStyle w:val="0"/>
        <w:numPr>
          <w:ilvl w:val="0"/>
          <w:numId w:val="134"/>
        </w:numPr>
        <w:jc w:val="left"/>
        <w:rPr>
          <w:rFonts w:hint="eastAsia"/>
        </w:rPr>
      </w:pPr>
      <w:r>
        <w:rPr>
          <w:rFonts w:hint="eastAsia" w:ascii="ＭＳ ゴシック" w:hAnsi="ＭＳ ゴシック" w:eastAsia="ＭＳ ゴシック"/>
        </w:rPr>
        <w:t>軽度・中等度難聴児</w:t>
      </w:r>
      <w:r>
        <w:rPr>
          <w:rFonts w:hint="default" w:ascii="ＭＳ ゴシック" w:hAnsi="ＭＳ ゴシック" w:eastAsia="ＭＳ ゴシック"/>
        </w:rPr>
        <w:br w:type="textWrapping" w:clear="none"/>
      </w:r>
      <w:r>
        <w:rPr>
          <w:rFonts w:hint="eastAsia"/>
        </w:rPr>
        <w:t>両耳の聴力レベルが</w:t>
      </w:r>
      <w:r>
        <w:rPr>
          <w:rFonts w:hint="eastAsia"/>
        </w:rPr>
        <w:t>30</w:t>
      </w:r>
      <w:r>
        <w:rPr>
          <w:rFonts w:hint="eastAsia"/>
        </w:rPr>
        <w:t>デシベル（</w:t>
      </w:r>
      <w:r>
        <w:rPr>
          <w:rFonts w:hint="eastAsia"/>
        </w:rPr>
        <w:t>dB</w:t>
      </w:r>
      <w:r>
        <w:rPr>
          <w:rFonts w:hint="eastAsia"/>
        </w:rPr>
        <w:t>）以上で身体障害者手帳の交付対象とならない難聴の児童。補聴器の使用が必要となるケースが多い。</w:t>
      </w:r>
    </w:p>
    <w:p>
      <w:pPr>
        <w:pStyle w:val="0"/>
        <w:numPr>
          <w:ilvl w:val="0"/>
          <w:numId w:val="134"/>
        </w:numPr>
        <w:jc w:val="left"/>
        <w:rPr>
          <w:rFonts w:hint="eastAsia"/>
        </w:rPr>
      </w:pPr>
      <w:r>
        <w:rPr>
          <w:rFonts w:hint="eastAsia" w:ascii="ＭＳ ゴシック" w:hAnsi="ＭＳ ゴシック" w:eastAsia="ＭＳ ゴシック"/>
        </w:rPr>
        <w:t>ゲートキーパー</w:t>
      </w:r>
      <w:r>
        <w:rPr>
          <w:rFonts w:hint="default" w:ascii="ＭＳ ゴシック" w:hAnsi="ＭＳ ゴシック" w:eastAsia="ＭＳ ゴシック"/>
        </w:rPr>
        <w:br w:type="textWrapping" w:clear="none"/>
      </w:r>
      <w:r>
        <w:rPr>
          <w:rFonts w:hint="eastAsia"/>
        </w:rPr>
        <w:t>周囲で悩みを抱えている人に気づいて声をかけ、話を聴き、必要な支援に早期につなげて見守る人。</w:t>
      </w:r>
    </w:p>
    <w:p>
      <w:pPr>
        <w:pStyle w:val="0"/>
        <w:numPr>
          <w:ilvl w:val="0"/>
          <w:numId w:val="134"/>
        </w:numPr>
        <w:jc w:val="left"/>
        <w:rPr>
          <w:rFonts w:hint="eastAsia"/>
        </w:rPr>
      </w:pPr>
      <w:r>
        <w:rPr>
          <w:rFonts w:hint="eastAsia" w:ascii="ＭＳ ゴシック" w:hAnsi="ＭＳ ゴシック" w:eastAsia="ＭＳ ゴシック"/>
        </w:rPr>
        <w:t>圏域自立支援協議会</w:t>
      </w:r>
      <w:r>
        <w:rPr>
          <w:rFonts w:hint="default" w:ascii="ＭＳ ゴシック" w:hAnsi="ＭＳ ゴシック" w:eastAsia="ＭＳ ゴシック"/>
        </w:rPr>
        <w:br w:type="textWrapping" w:clear="none"/>
      </w:r>
      <w:r>
        <w:rPr>
          <w:rFonts w:hint="eastAsia"/>
        </w:rPr>
        <w:t>障害保健福祉圏域において、市町、相談支援事業者や障害福祉サービス事業者、特別支援学校、ハローワークなどの関係機関で構成される協議会。市町自立支援協議会で解決できない広域調整が必要な事項の協議や圏域障害福祉計画の策定を行う。</w:t>
      </w:r>
    </w:p>
    <w:p>
      <w:pPr>
        <w:pStyle w:val="0"/>
        <w:numPr>
          <w:ilvl w:val="0"/>
          <w:numId w:val="134"/>
        </w:numPr>
        <w:jc w:val="left"/>
        <w:rPr>
          <w:rFonts w:hint="eastAsia"/>
        </w:rPr>
      </w:pPr>
      <w:r>
        <w:rPr>
          <w:rFonts w:hint="eastAsia" w:ascii="ＭＳ ゴシック" w:hAnsi="ＭＳ ゴシック" w:eastAsia="ＭＳ ゴシック"/>
        </w:rPr>
        <w:t>圏域スーパーバイザー</w:t>
      </w:r>
    </w:p>
    <w:p>
      <w:pPr>
        <w:pStyle w:val="0"/>
        <w:numPr>
          <w:numId w:val="0"/>
        </w:numPr>
        <w:ind w:left="576" w:leftChars="0" w:firstLine="0" w:firstLineChars="0"/>
        <w:jc w:val="left"/>
        <w:rPr>
          <w:rFonts w:hint="eastAsia"/>
        </w:rPr>
      </w:pPr>
      <w:r>
        <w:rPr>
          <w:rFonts w:hint="eastAsia"/>
        </w:rPr>
        <w:t>圏域自立支援協議会専門部会の運営や、市町自立支援協議会の活動に対する助言など、障害者支援に係る専門的援助や広域調整を行う者のことであり、障害保健福祉圏域ごとに県が設置している。</w:t>
      </w:r>
    </w:p>
    <w:p>
      <w:pPr>
        <w:pStyle w:val="0"/>
        <w:numPr>
          <w:ilvl w:val="0"/>
          <w:numId w:val="134"/>
        </w:numPr>
        <w:jc w:val="left"/>
        <w:rPr>
          <w:rFonts w:hint="eastAsia"/>
        </w:rPr>
      </w:pPr>
      <w:r>
        <w:rPr>
          <w:rFonts w:hint="eastAsia" w:ascii="ＭＳ ゴシック" w:hAnsi="ＭＳ ゴシック" w:eastAsia="ＭＳ ゴシック"/>
        </w:rPr>
        <w:t>高次脳機能障害</w:t>
      </w:r>
      <w:r>
        <w:rPr>
          <w:rFonts w:hint="default" w:ascii="ＭＳ ゴシック" w:hAnsi="ＭＳ ゴシック" w:eastAsia="ＭＳ ゴシック"/>
        </w:rPr>
        <w:br w:type="textWrapping" w:clear="none"/>
      </w:r>
      <w:r>
        <w:rPr>
          <w:rFonts w:hint="eastAsia"/>
        </w:rPr>
        <w:t>病気や事故の影響により、脳が傷つきその後遺症として、記憶や注意力などが低下し、日常生活に支障をきたす症状。</w:t>
      </w:r>
    </w:p>
    <w:p>
      <w:pPr>
        <w:pStyle w:val="0"/>
        <w:numPr>
          <w:ilvl w:val="0"/>
          <w:numId w:val="134"/>
        </w:numPr>
        <w:jc w:val="left"/>
        <w:rPr>
          <w:rFonts w:hint="default"/>
        </w:rPr>
      </w:pPr>
      <w:r>
        <w:rPr>
          <w:rFonts w:hint="eastAsia" w:ascii="ＭＳ ゴシック" w:hAnsi="ＭＳ ゴシック" w:eastAsia="ＭＳ ゴシック"/>
        </w:rPr>
        <w:t>合理的配慮</w:t>
      </w:r>
      <w:r>
        <w:rPr>
          <w:rFonts w:hint="default" w:ascii="ＭＳ ゴシック" w:hAnsi="ＭＳ ゴシック" w:eastAsia="ＭＳ ゴシック"/>
        </w:rPr>
        <w:br w:type="textWrapping" w:clear="none"/>
      </w:r>
      <w:r>
        <w:rPr>
          <w:rFonts w:hint="eastAsia"/>
        </w:rPr>
        <w:t>障害のある人の求め（障害のある人が障害によりその意思の表明を行うことができない場合又はその意思の表明を行うことが著しく困難な場合にあっては、障害のある人の意思の表明を代わりに行う者の求め）に応じて、障害のある人が障害のない人と同等の権利を行使するために、又は障害のない人と同等の機会及び待遇を確保するために必要かつ適切な措置を行うこと。ただし、社会通念上相当と認められる程度を超えた過重な負担を伴うものを除く。</w:t>
      </w:r>
    </w:p>
    <w:p>
      <w:pPr>
        <w:pStyle w:val="0"/>
        <w:numPr>
          <w:ilvl w:val="0"/>
          <w:numId w:val="134"/>
        </w:numPr>
        <w:jc w:val="left"/>
        <w:rPr>
          <w:rFonts w:hint="eastAsia"/>
        </w:rPr>
      </w:pPr>
      <w:r>
        <w:rPr>
          <w:rFonts w:hint="eastAsia" w:ascii="ＭＳ ゴシック" w:hAnsi="ＭＳ ゴシック" w:eastAsia="ＭＳ ゴシック"/>
        </w:rPr>
        <w:t>個別支援計画</w:t>
      </w:r>
      <w:r>
        <w:rPr>
          <w:rFonts w:hint="default" w:ascii="ＭＳ ゴシック" w:hAnsi="ＭＳ ゴシック" w:eastAsia="ＭＳ ゴシック"/>
        </w:rPr>
        <w:br w:type="textWrapping" w:clear="none"/>
      </w:r>
      <w:r>
        <w:rPr>
          <w:rFonts w:hint="eastAsia"/>
        </w:rPr>
        <w:t>個々の利用者の意向・適正・障害の特性等を踏まえた適切な障害福祉サービスを提供するために、サービス管理責任者が作成する計画。</w:t>
      </w:r>
    </w:p>
    <w:p>
      <w:pPr>
        <w:pStyle w:val="0"/>
        <w:numPr>
          <w:numId w:val="0"/>
        </w:numPr>
        <w:ind w:left="576" w:leftChars="0" w:firstLine="0" w:firstLineChars="0"/>
        <w:jc w:val="left"/>
        <w:rPr>
          <w:rFonts w:hint="eastAsia"/>
        </w:rPr>
      </w:pPr>
    </w:p>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【さ行】</w:t>
      </w:r>
    </w:p>
    <w:p>
      <w:pPr>
        <w:pStyle w:val="0"/>
        <w:numPr>
          <w:ilvl w:val="0"/>
          <w:numId w:val="134"/>
        </w:numPr>
        <w:jc w:val="left"/>
        <w:rPr>
          <w:rFonts w:hint="eastAsia"/>
        </w:rPr>
      </w:pPr>
      <w:r>
        <w:rPr>
          <w:rFonts w:hint="eastAsia" w:ascii="ＭＳ ゴシック" w:hAnsi="ＭＳ ゴシック" w:eastAsia="ＭＳ ゴシック"/>
        </w:rPr>
        <w:t>サービス管理責任者</w:t>
      </w:r>
      <w:r>
        <w:rPr>
          <w:rFonts w:hint="default" w:ascii="ＭＳ ゴシック" w:hAnsi="ＭＳ ゴシック" w:eastAsia="ＭＳ ゴシック"/>
        </w:rPr>
        <w:br w:type="textWrapping" w:clear="none"/>
      </w:r>
      <w:r>
        <w:rPr>
          <w:rFonts w:hint="eastAsia"/>
        </w:rPr>
        <w:t>サービスの質の向上を図るため、個々の利用者についての初期状態の把握（アセスメント）や個別支援計画の作成、定期的な評価（モニタリング）などの一連のサービス提供プロセス全般に関する責任を担う者。なお、訪問系サービスを除く、障害福祉サービス事業所や障害者支援施設に配置が義務づけられている。</w:t>
      </w:r>
    </w:p>
    <w:p>
      <w:pPr>
        <w:pStyle w:val="0"/>
        <w:numPr>
          <w:ilvl w:val="0"/>
          <w:numId w:val="134"/>
        </w:numPr>
        <w:jc w:val="left"/>
        <w:rPr>
          <w:rFonts w:hint="eastAsia"/>
        </w:rPr>
      </w:pPr>
      <w:r>
        <w:rPr>
          <w:rFonts w:hint="eastAsia" w:ascii="ＭＳ ゴシック" w:hAnsi="ＭＳ ゴシック" w:eastAsia="ＭＳ ゴシック"/>
        </w:rPr>
        <w:t>災害派遣精神医療チーム（ＤＰＡＴ）</w:t>
      </w:r>
      <w:r>
        <w:rPr>
          <w:rFonts w:hint="default" w:ascii="ＭＳ ゴシック" w:hAnsi="ＭＳ ゴシック" w:eastAsia="ＭＳ ゴシック"/>
        </w:rPr>
        <w:br w:type="textWrapping" w:clear="none"/>
      </w:r>
      <w:r>
        <w:rPr>
          <w:rFonts w:hint="eastAsia"/>
          <w:color w:val="auto"/>
          <w:highlight w:val="none"/>
        </w:rPr>
        <w:t>地震、台風等の自然災害や航空機・列車事故等の大規模災害が発生した場合、被災地域において精神科医療の提供と精神保健活動の支援を行う、専門的な研修・訓練を受けた医療チーム。</w:t>
      </w:r>
    </w:p>
    <w:p>
      <w:pPr>
        <w:pStyle w:val="0"/>
        <w:numPr>
          <w:ilvl w:val="0"/>
          <w:numId w:val="134"/>
        </w:numPr>
        <w:jc w:val="left"/>
        <w:rPr>
          <w:rFonts w:hint="eastAsia"/>
        </w:rPr>
      </w:pPr>
      <w:r>
        <w:rPr>
          <w:rFonts w:hint="eastAsia" w:ascii="ＭＳ ゴシック" w:hAnsi="ＭＳ ゴシック" w:eastAsia="ＭＳ ゴシック"/>
        </w:rPr>
        <w:t>災害派遣福祉チーム（</w:t>
      </w:r>
      <w:r>
        <w:rPr>
          <w:rFonts w:hint="eastAsia" w:ascii="ＭＳ ゴシック" w:hAnsi="ＭＳ ゴシック" w:eastAsia="ＭＳ ゴシック"/>
          <w:color w:val="auto"/>
        </w:rPr>
        <w:t>ＤＷＡＴ</w:t>
      </w:r>
      <w:r>
        <w:rPr>
          <w:rFonts w:hint="eastAsia" w:ascii="ＭＳ ゴシック" w:hAnsi="ＭＳ ゴシック" w:eastAsia="ＭＳ ゴシック"/>
        </w:rPr>
        <w:t>）</w:t>
      </w:r>
      <w:r>
        <w:rPr>
          <w:rFonts w:hint="default" w:ascii="ＭＳ ゴシック" w:hAnsi="ＭＳ ゴシック" w:eastAsia="ＭＳ ゴシック"/>
        </w:rPr>
        <w:br w:type="textWrapping" w:clear="none"/>
      </w:r>
      <w:r>
        <w:rPr>
          <w:rFonts w:hint="eastAsia"/>
        </w:rPr>
        <w:t>大規模災害発生時に福祉避難所等において、要配慮者の福祉的ニーズを把握し生活の支援に当たる社会福祉士や介護福祉士などから構成される専門職チーム。</w:t>
      </w:r>
    </w:p>
    <w:p>
      <w:pPr>
        <w:pStyle w:val="0"/>
        <w:numPr>
          <w:ilvl w:val="0"/>
          <w:numId w:val="134"/>
        </w:numPr>
        <w:jc w:val="left"/>
        <w:rPr>
          <w:rFonts w:hint="eastAsia"/>
        </w:rPr>
      </w:pPr>
      <w:r>
        <w:rPr>
          <w:rFonts w:hint="eastAsia" w:ascii="ＭＳ ゴシック" w:hAnsi="ＭＳ ゴシック" w:eastAsia="ＭＳ ゴシック"/>
        </w:rPr>
        <w:t>在宅就業障害者支援制度</w:t>
      </w:r>
      <w:r>
        <w:rPr>
          <w:rFonts w:hint="default" w:ascii="ＭＳ ゴシック" w:hAnsi="ＭＳ ゴシック" w:eastAsia="ＭＳ ゴシック"/>
        </w:rPr>
        <w:br w:type="textWrapping" w:clear="none"/>
      </w:r>
      <w:r>
        <w:rPr>
          <w:rFonts w:hint="eastAsia"/>
        </w:rPr>
        <w:t>在宅で就労する障害のある人や登録在宅就業支援団体を介して仕事を発注する事業主に対して、特例調整金・特例報奨金を支給して支援する制度。</w:t>
      </w:r>
    </w:p>
    <w:p>
      <w:pPr>
        <w:pStyle w:val="0"/>
        <w:numPr>
          <w:ilvl w:val="0"/>
          <w:numId w:val="134"/>
        </w:numPr>
        <w:jc w:val="left"/>
        <w:rPr>
          <w:rFonts w:hint="eastAsia"/>
        </w:rPr>
      </w:pPr>
      <w:r>
        <w:rPr>
          <w:rFonts w:hint="eastAsia" w:ascii="ＭＳ ゴシック" w:hAnsi="ＭＳ ゴシック" w:eastAsia="ＭＳ ゴシック"/>
        </w:rPr>
        <w:t>サイポスレーダー</w:t>
      </w:r>
      <w:r>
        <w:rPr>
          <w:rFonts w:hint="default" w:ascii="ＭＳ ゴシック" w:hAnsi="ＭＳ ゴシック" w:eastAsia="ＭＳ ゴシック"/>
        </w:rPr>
        <w:br w:type="textWrapping" w:clear="none"/>
      </w:r>
      <w:r>
        <w:rPr>
          <w:rFonts w:hint="eastAsia"/>
        </w:rPr>
        <w:t>静岡県が運営する地域密着型防災サイト。ピンポイント天気予報をはじめ、気象情報、防災情報、ライブカメラ映像、雨量・水位情報をリアルタイムで提供している。</w:t>
      </w:r>
    </w:p>
    <w:p>
      <w:pPr>
        <w:pStyle w:val="0"/>
        <w:numPr>
          <w:ilvl w:val="0"/>
          <w:numId w:val="134"/>
        </w:numPr>
        <w:jc w:val="left"/>
        <w:rPr>
          <w:rFonts w:hint="eastAsia"/>
        </w:rPr>
      </w:pPr>
      <w:r>
        <w:rPr>
          <w:rFonts w:hint="eastAsia" w:ascii="ＭＳ ゴシック" w:hAnsi="ＭＳ ゴシック" w:eastAsia="ＭＳ ゴシック"/>
        </w:rPr>
        <w:t>作業療法士</w:t>
      </w:r>
      <w:r>
        <w:rPr>
          <w:rFonts w:hint="default" w:ascii="ＭＳ ゴシック" w:hAnsi="ＭＳ ゴシック" w:eastAsia="ＭＳ ゴシック"/>
        </w:rPr>
        <w:br w:type="textWrapping" w:clear="none"/>
      </w:r>
      <w:r>
        <w:rPr>
          <w:rFonts w:hint="eastAsia"/>
        </w:rPr>
        <w:t>心身に障害のある人に対し、主に手先を使う作業療法（手芸、工作、治療的ゲーム等）を用いて、応用的動作能力又は社会的適応能力の回復を図る訓練等を行う者。医療機関や福祉施設等で働いている。</w:t>
      </w:r>
    </w:p>
    <w:p>
      <w:pPr>
        <w:pStyle w:val="0"/>
        <w:numPr>
          <w:ilvl w:val="0"/>
          <w:numId w:val="134"/>
        </w:numPr>
        <w:jc w:val="left"/>
        <w:rPr>
          <w:rFonts w:hint="eastAsia"/>
        </w:rPr>
      </w:pPr>
      <w:r>
        <w:rPr>
          <w:rFonts w:hint="eastAsia" w:ascii="ＭＳ ゴシック" w:hAnsi="ＭＳ ゴシック" w:eastAsia="ＭＳ ゴシック"/>
        </w:rPr>
        <w:t>静岡県障害者活躍推進計画</w:t>
      </w:r>
    </w:p>
    <w:p>
      <w:pPr>
        <w:pStyle w:val="0"/>
        <w:numPr>
          <w:numId w:val="0"/>
        </w:numPr>
        <w:ind w:left="576" w:leftChars="0" w:firstLine="0" w:firstLineChars="0"/>
        <w:jc w:val="left"/>
        <w:rPr>
          <w:rFonts w:hint="eastAsia"/>
        </w:rPr>
      </w:pPr>
      <w:r>
        <w:rPr>
          <w:rFonts w:hint="eastAsia"/>
        </w:rPr>
        <w:t>障害のある方の職員としての雇用や障害のある職員が活躍できる環境づくりを推進するため、採用及び定着に関する目標や各種取組について定めた計画。</w:t>
      </w:r>
    </w:p>
    <w:p>
      <w:pPr>
        <w:pStyle w:val="0"/>
        <w:numPr>
          <w:ilvl w:val="0"/>
          <w:numId w:val="134"/>
        </w:numPr>
        <w:jc w:val="left"/>
        <w:rPr>
          <w:rFonts w:hint="eastAsia"/>
        </w:rPr>
      </w:pPr>
      <w:r>
        <w:rPr>
          <w:rFonts w:hint="eastAsia" w:ascii="ＭＳ ゴシック" w:hAnsi="ＭＳ ゴシック" w:eastAsia="ＭＳ ゴシック"/>
        </w:rPr>
        <w:t>静岡県障害を理由とする差別の解消の推進に関する条例</w:t>
      </w:r>
      <w:r>
        <w:rPr>
          <w:rFonts w:hint="eastAsia" w:ascii="ＭＳ ゴシック" w:hAnsi="ＭＳ ゴシック" w:eastAsia="ＭＳ ゴシック"/>
          <w:color w:val="auto"/>
          <w:highlight w:val="none"/>
        </w:rPr>
        <w:tab/>
      </w:r>
      <w:r>
        <w:rPr>
          <w:rFonts w:hint="eastAsia" w:ascii="ＭＳ ゴシック" w:hAnsi="ＭＳ ゴシック" w:eastAsia="ＭＳ ゴシック"/>
          <w:color w:val="auto"/>
          <w:w w:val="80"/>
          <w:highlight w:val="none"/>
        </w:rPr>
        <w:t>（障害者差別解消条例）</w:t>
      </w:r>
      <w:r>
        <w:rPr>
          <w:rFonts w:hint="default" w:ascii="ＭＳ ゴシック" w:hAnsi="ＭＳ ゴシック" w:eastAsia="ＭＳ ゴシック"/>
        </w:rPr>
        <w:br w:type="textWrapping" w:clear="none"/>
      </w:r>
      <w:r>
        <w:rPr>
          <w:rFonts w:hint="eastAsia"/>
        </w:rPr>
        <w:t>障害を理由とする差別の解消の推進に関する法律の趣旨にのっとり、障害を理由とする差別の解消の推進に関し、相談及び紛争解決等の体制、県民の理解及び関心の増進等を規定し、全ての県民が、障害の有無によって分け隔てられることなく、相互に人格と個性を尊重し合いながら共生する社会の実現に資することを目的としている条例。</w:t>
      </w:r>
    </w:p>
    <w:p>
      <w:pPr>
        <w:pStyle w:val="0"/>
        <w:numPr>
          <w:ilvl w:val="0"/>
          <w:numId w:val="134"/>
        </w:numPr>
        <w:jc w:val="left"/>
        <w:rPr>
          <w:rFonts w:hint="eastAsia"/>
        </w:rPr>
      </w:pPr>
      <w:r>
        <w:rPr>
          <w:rFonts w:hint="eastAsia" w:ascii="ＭＳ ゴシック" w:hAnsi="ＭＳ ゴシック" w:eastAsia="ＭＳ ゴシック"/>
        </w:rPr>
        <w:t>静岡県地域福祉支援計画</w:t>
      </w:r>
      <w:r>
        <w:rPr>
          <w:rFonts w:hint="default" w:ascii="ＭＳ ゴシック" w:hAnsi="ＭＳ ゴシック" w:eastAsia="ＭＳ ゴシック"/>
        </w:rPr>
        <w:br w:type="textWrapping" w:clear="none"/>
      </w:r>
      <w:r>
        <w:rPr>
          <w:rFonts w:hint="eastAsia"/>
        </w:rPr>
        <w:t>社会福祉法の規定により、市町村は地域福祉の推進に関する事項を一体的に定める計画（「市町村地域福祉計画」）を策定することとされている。「都道府県地域福祉支援計画」は、市町村が「市町村地域福祉計画」の達成のために公私の協働で進める取組を、県が広域的な見地から支援するために策定する計画である。</w:t>
      </w:r>
    </w:p>
    <w:p>
      <w:pPr>
        <w:pStyle w:val="0"/>
        <w:numPr>
          <w:ilvl w:val="0"/>
          <w:numId w:val="134"/>
        </w:numPr>
        <w:jc w:val="left"/>
        <w:rPr>
          <w:rFonts w:hint="eastAsia"/>
        </w:rPr>
      </w:pPr>
      <w:r>
        <w:rPr>
          <w:rFonts w:hint="eastAsia" w:ascii="ＭＳ ゴシック" w:hAnsi="ＭＳ ゴシック" w:eastAsia="ＭＳ ゴシック"/>
        </w:rPr>
        <w:t>静岡県福祉のまちづくり条例</w:t>
      </w:r>
      <w:r>
        <w:rPr>
          <w:rFonts w:hint="default" w:ascii="ＭＳ ゴシック" w:hAnsi="ＭＳ ゴシック" w:eastAsia="ＭＳ ゴシック"/>
        </w:rPr>
        <w:br w:type="textWrapping" w:clear="none"/>
      </w:r>
      <w:r>
        <w:rPr>
          <w:rFonts w:hint="eastAsia"/>
        </w:rPr>
        <w:t>障害のある人や高齢者など誰もが自由に社会参加できる福祉のまちづくりに向け、不特定多数の人が利用する公共的施設の整備促進や県民の思いやりの心の醸成について定めた県条例。</w:t>
      </w:r>
    </w:p>
    <w:p>
      <w:pPr>
        <w:pStyle w:val="0"/>
        <w:numPr>
          <w:ilvl w:val="0"/>
          <w:numId w:val="134"/>
        </w:numPr>
        <w:jc w:val="left"/>
        <w:rPr>
          <w:rFonts w:hint="eastAsia"/>
        </w:rPr>
      </w:pPr>
      <w:r>
        <w:rPr>
          <w:rFonts w:hint="eastAsia" w:ascii="ＭＳ ゴシック" w:hAnsi="ＭＳ ゴシック" w:eastAsia="ＭＳ ゴシック"/>
        </w:rPr>
        <w:t>市町自立支援協議会</w:t>
      </w:r>
    </w:p>
    <w:p>
      <w:pPr>
        <w:pStyle w:val="0"/>
        <w:numPr>
          <w:numId w:val="0"/>
        </w:numPr>
        <w:ind w:left="576" w:leftChars="0" w:firstLine="0" w:firstLineChars="0"/>
        <w:jc w:val="left"/>
        <w:rPr>
          <w:rFonts w:hint="eastAsia"/>
        </w:rPr>
      </w:pPr>
      <w:r>
        <w:rPr>
          <w:rFonts w:hint="eastAsia"/>
        </w:rPr>
        <w:t>相談支援事業を始めとする地域の障害福祉に関するシステムづくりに関し、中核的な役割を果たす定期的な協議の場として市町が共同又は単独で設置する協議会。相談支援事業者や障害福祉サービス事業者などで構成され、地域の関係機関によるネットワーク構築に向けた協議などを行う。</w:t>
      </w:r>
    </w:p>
    <w:p>
      <w:pPr>
        <w:pStyle w:val="0"/>
        <w:numPr>
          <w:ilvl w:val="0"/>
          <w:numId w:val="134"/>
        </w:numPr>
        <w:jc w:val="left"/>
        <w:rPr>
          <w:rFonts w:hint="eastAsia"/>
        </w:rPr>
      </w:pPr>
      <w:r>
        <w:rPr>
          <w:rFonts w:hint="eastAsia" w:ascii="ＭＳ ゴシック" w:hAnsi="ＭＳ ゴシック" w:eastAsia="ＭＳ ゴシック"/>
        </w:rPr>
        <w:t>失語症者向け意思疎通支援者</w:t>
      </w:r>
    </w:p>
    <w:p>
      <w:pPr>
        <w:pStyle w:val="0"/>
        <w:numPr>
          <w:numId w:val="0"/>
        </w:numPr>
        <w:ind w:left="576" w:leftChars="0" w:firstLine="0" w:firstLineChars="0"/>
        <w:jc w:val="left"/>
        <w:rPr>
          <w:rFonts w:hint="eastAsia"/>
        </w:rPr>
      </w:pPr>
      <w:r>
        <w:rPr>
          <w:rFonts w:hint="eastAsia"/>
        </w:rPr>
        <w:t>脳の言語中枢の損傷により、聞く、話す、読む、書くなどの言葉にかかわる機能が失われた人に対し、会話の理解や表現を補助（必要に応じて道具や絵を利用）して意思疎通支援を行う者。</w:t>
      </w:r>
    </w:p>
    <w:p>
      <w:pPr>
        <w:pStyle w:val="0"/>
        <w:numPr>
          <w:ilvl w:val="0"/>
          <w:numId w:val="134"/>
        </w:numPr>
        <w:jc w:val="left"/>
        <w:rPr>
          <w:rFonts w:hint="eastAsia"/>
        </w:rPr>
      </w:pPr>
      <w:r>
        <w:rPr>
          <w:rFonts w:hint="eastAsia" w:ascii="ＭＳ ゴシック" w:hAnsi="ＭＳ ゴシック" w:eastAsia="ＭＳ ゴシック"/>
        </w:rPr>
        <w:t>児童相談所</w:t>
      </w:r>
      <w:r>
        <w:rPr>
          <w:rFonts w:hint="default" w:ascii="ＭＳ ゴシック" w:hAnsi="ＭＳ ゴシック" w:eastAsia="ＭＳ ゴシック"/>
        </w:rPr>
        <w:br w:type="textWrapping" w:clear="none"/>
      </w:r>
      <w:r>
        <w:rPr>
          <w:rFonts w:hint="eastAsia"/>
        </w:rPr>
        <w:t>福祉事務所、保健所、学校、警察、民生委員・児童委員等と連携を図りながら児童の養育についての相談、調査、診断、判定、一時保護等を行う機関。</w:t>
      </w:r>
    </w:p>
    <w:p>
      <w:pPr>
        <w:pStyle w:val="0"/>
        <w:numPr>
          <w:ilvl w:val="0"/>
          <w:numId w:val="134"/>
        </w:numPr>
        <w:jc w:val="left"/>
        <w:rPr>
          <w:rFonts w:hint="eastAsia"/>
        </w:rPr>
      </w:pPr>
      <w:r>
        <w:rPr>
          <w:rFonts w:hint="eastAsia" w:ascii="ＭＳ ゴシック" w:hAnsi="ＭＳ ゴシック" w:eastAsia="ＭＳ ゴシック"/>
        </w:rPr>
        <w:t>児童発達支援管理責任者</w:t>
      </w:r>
      <w:r>
        <w:rPr>
          <w:rFonts w:hint="default" w:ascii="ＭＳ ゴシック" w:hAnsi="ＭＳ ゴシック" w:eastAsia="ＭＳ ゴシック"/>
        </w:rPr>
        <w:br w:type="textWrapping" w:clear="none"/>
      </w:r>
      <w:r>
        <w:rPr>
          <w:rFonts w:hint="eastAsia"/>
        </w:rPr>
        <w:t>障害児通所・入所施設に配置され、障害のある子どもに対する効果的かつ適切な支援を行う観点から、保護者及び障害のある子どもの解決すべき課題を把握した上で、個別支援計画の作成や提供した支援の客観的な評価を行うなど、障害児支援全般に関する責任を担う者。</w:t>
      </w:r>
    </w:p>
    <w:p>
      <w:pPr>
        <w:pStyle w:val="0"/>
        <w:numPr>
          <w:ilvl w:val="0"/>
          <w:numId w:val="134"/>
        </w:numPr>
        <w:jc w:val="left"/>
        <w:rPr>
          <w:rFonts w:hint="eastAsia"/>
        </w:rPr>
      </w:pPr>
      <w:r>
        <w:rPr>
          <w:rFonts w:hint="eastAsia" w:ascii="ＭＳ ゴシック" w:hAnsi="ＭＳ ゴシック" w:eastAsia="ＭＳ ゴシック"/>
        </w:rPr>
        <w:t>児童発達支援事業</w:t>
      </w:r>
      <w:r>
        <w:rPr>
          <w:rFonts w:hint="eastAsia" w:ascii="ＭＳ ゴシック" w:hAnsi="ＭＳ ゴシック" w:eastAsia="ＭＳ ゴシック"/>
        </w:rPr>
        <w:tab/>
      </w:r>
      <w:r>
        <w:rPr>
          <w:rFonts w:hint="default" w:ascii="ＭＳ ゴシック" w:hAnsi="ＭＳ ゴシック" w:eastAsia="ＭＳ ゴシック"/>
        </w:rPr>
        <w:br w:type="textWrapping" w:clear="none"/>
      </w:r>
      <w:r>
        <w:rPr>
          <w:rFonts w:hint="eastAsia"/>
        </w:rPr>
        <w:t>児童福祉法に基づき、障害のある子どもに提供される通所サービス（障害児通所支援）の一つで、未就学の児童を対象として、日常生活における基本的な動作の指導、知識技能の付与、集団生活への適応訓練などの支援（児童発達支援）を行う事業。</w:t>
      </w:r>
    </w:p>
    <w:p>
      <w:pPr>
        <w:pStyle w:val="0"/>
        <w:numPr>
          <w:ilvl w:val="0"/>
          <w:numId w:val="134"/>
        </w:numPr>
        <w:jc w:val="left"/>
        <w:rPr>
          <w:rFonts w:hint="eastAsia"/>
        </w:rPr>
      </w:pPr>
      <w:r>
        <w:rPr>
          <w:rFonts w:hint="eastAsia" w:ascii="ＭＳ ゴシック" w:hAnsi="ＭＳ ゴシック" w:eastAsia="ＭＳ ゴシック"/>
        </w:rPr>
        <w:t>児童発達支援センター</w:t>
      </w:r>
      <w:r>
        <w:rPr>
          <w:rFonts w:hint="default" w:ascii="ＭＳ ゴシック" w:hAnsi="ＭＳ ゴシック" w:eastAsia="ＭＳ ゴシック"/>
        </w:rPr>
        <w:br w:type="textWrapping" w:clear="none"/>
      </w:r>
      <w:r>
        <w:rPr>
          <w:rFonts w:hint="eastAsia"/>
        </w:rPr>
        <w:t>児童福祉法に基づき、児童発達支援を行う施設。「児童発達支援事業」が身近な療育の場であるのに対し、「児童発達支援センター」は、地域の障害のある子どもやその家族への相談（障害児相談支援）、障害のある子どもを預かる施設への援助・助言（保育所等訪問支援など）を合わせて行う地域の中核的な療育支援施設。</w:t>
      </w:r>
    </w:p>
    <w:p>
      <w:pPr>
        <w:pStyle w:val="0"/>
        <w:numPr>
          <w:ilvl w:val="0"/>
          <w:numId w:val="134"/>
        </w:numPr>
        <w:jc w:val="left"/>
        <w:rPr>
          <w:rFonts w:hint="eastAsia"/>
        </w:rPr>
      </w:pPr>
      <w:r>
        <w:rPr>
          <w:rFonts w:hint="eastAsia" w:ascii="ＭＳ ゴシック" w:hAnsi="ＭＳ ゴシック" w:eastAsia="ＭＳ ゴシック"/>
        </w:rPr>
        <w:t>自閉症スペクトラム障害</w:t>
      </w:r>
    </w:p>
    <w:p>
      <w:pPr>
        <w:pStyle w:val="0"/>
        <w:numPr>
          <w:numId w:val="0"/>
        </w:numPr>
        <w:ind w:left="576" w:leftChars="0" w:firstLine="0" w:firstLineChars="0"/>
        <w:jc w:val="left"/>
        <w:rPr>
          <w:rFonts w:hint="eastAsia"/>
        </w:rPr>
      </w:pPr>
      <w:r>
        <w:rPr>
          <w:rFonts w:hint="eastAsia"/>
        </w:rPr>
        <w:t>自閉症、アスペルガー症候群、その他の広汎性発達障害については、自閉症スペクトラム障害ともいう。</w:t>
      </w:r>
    </w:p>
    <w:p>
      <w:pPr>
        <w:pStyle w:val="0"/>
        <w:numPr>
          <w:ilvl w:val="0"/>
          <w:numId w:val="134"/>
        </w:numPr>
        <w:jc w:val="left"/>
        <w:rPr>
          <w:rFonts w:hint="eastAsia"/>
        </w:rPr>
      </w:pPr>
      <w:r>
        <w:rPr>
          <w:rFonts w:hint="eastAsia" w:ascii="ＭＳ ゴシック" w:hAnsi="ＭＳ ゴシック" w:eastAsia="ＭＳ ゴシック"/>
        </w:rPr>
        <w:t>市民後見人</w:t>
      </w:r>
      <w:r>
        <w:rPr>
          <w:rFonts w:hint="default" w:ascii="ＭＳ ゴシック" w:hAnsi="ＭＳ ゴシック" w:eastAsia="ＭＳ ゴシック"/>
        </w:rPr>
        <w:br w:type="textWrapping" w:clear="none"/>
      </w:r>
      <w:r>
        <w:rPr>
          <w:rFonts w:hint="eastAsia"/>
        </w:rPr>
        <w:t>弁護士や司法書士、社会福祉士などの専門職ではない一般の市民で、成年後見人となるための</w:t>
      </w:r>
      <w:r>
        <w:rPr>
          <w:rFonts w:hint="eastAsia"/>
          <w:color w:val="auto"/>
          <w:highlight w:val="none"/>
        </w:rPr>
        <w:t>養成</w:t>
      </w:r>
      <w:r>
        <w:rPr>
          <w:rFonts w:hint="eastAsia"/>
        </w:rPr>
        <w:t>研修を修了し、社会貢献として権利擁護活動をする者。実際に成年後見人として活動するためには、家庭裁判所から選任される必要がある。</w:t>
      </w:r>
    </w:p>
    <w:p>
      <w:pPr>
        <w:pStyle w:val="0"/>
        <w:numPr>
          <w:ilvl w:val="0"/>
          <w:numId w:val="134"/>
        </w:numPr>
        <w:jc w:val="left"/>
        <w:rPr>
          <w:rFonts w:hint="eastAsia"/>
        </w:rPr>
      </w:pPr>
      <w:r>
        <w:rPr>
          <w:rFonts w:hint="eastAsia" w:ascii="ＭＳ ゴシック" w:hAnsi="ＭＳ ゴシック" w:eastAsia="ＭＳ ゴシック"/>
        </w:rPr>
        <w:t>社会福祉人材センター</w:t>
      </w:r>
      <w:r>
        <w:rPr>
          <w:rFonts w:hint="default" w:ascii="ＭＳ ゴシック" w:hAnsi="ＭＳ ゴシック" w:eastAsia="ＭＳ ゴシック"/>
        </w:rPr>
        <w:br w:type="textWrapping" w:clear="none"/>
      </w:r>
      <w:r>
        <w:rPr>
          <w:rFonts w:hint="eastAsia"/>
        </w:rPr>
        <w:t>社会福祉法に基づき、社会福祉施設等への就労に関する無料職業紹介や福祉従事者への各種研修等を行う機関。静岡県では、社会福祉法人静岡県社会福祉協議会が運営に当たっている。</w:t>
      </w:r>
    </w:p>
    <w:p>
      <w:pPr>
        <w:pStyle w:val="0"/>
        <w:numPr>
          <w:ilvl w:val="0"/>
          <w:numId w:val="134"/>
        </w:numPr>
        <w:jc w:val="left"/>
        <w:rPr>
          <w:rFonts w:hint="eastAsia"/>
        </w:rPr>
      </w:pPr>
      <w:r>
        <w:rPr>
          <w:rFonts w:hint="eastAsia" w:ascii="ＭＳ ゴシック" w:hAnsi="ＭＳ ゴシック" w:eastAsia="ＭＳ ゴシック"/>
        </w:rPr>
        <w:t>周産期医療体制</w:t>
      </w:r>
      <w:r>
        <w:rPr>
          <w:rFonts w:hint="default" w:ascii="ＭＳ ゴシック" w:hAnsi="ＭＳ ゴシック" w:eastAsia="ＭＳ ゴシック"/>
        </w:rPr>
        <w:br w:type="textWrapping" w:clear="none"/>
      </w:r>
      <w:r>
        <w:rPr>
          <w:rFonts w:hint="eastAsia"/>
        </w:rPr>
        <w:t>妊娠</w:t>
      </w:r>
      <w:r>
        <w:rPr>
          <w:rFonts w:hint="eastAsia"/>
        </w:rPr>
        <w:t>22</w:t>
      </w:r>
      <w:r>
        <w:rPr>
          <w:rFonts w:hint="eastAsia"/>
        </w:rPr>
        <w:t>週から生後満７日未満の期間を周産期といい、周産期とその前後の期間に母体や胎児・新生児に生じがちな突発的事態に対応するための、産科と新生児科の協力による総合的な医療体制。</w:t>
      </w:r>
    </w:p>
    <w:p>
      <w:pPr>
        <w:pStyle w:val="0"/>
        <w:numPr>
          <w:ilvl w:val="0"/>
          <w:numId w:val="134"/>
        </w:numPr>
        <w:jc w:val="left"/>
        <w:rPr>
          <w:rFonts w:hint="eastAsia"/>
        </w:rPr>
      </w:pPr>
      <w:r>
        <w:rPr>
          <w:rFonts w:hint="eastAsia" w:ascii="ＭＳ ゴシック" w:hAnsi="ＭＳ ゴシック" w:eastAsia="ＭＳ ゴシック"/>
        </w:rPr>
        <w:t>重症心身障害児（者）</w:t>
      </w:r>
    </w:p>
    <w:p>
      <w:pPr>
        <w:pStyle w:val="0"/>
        <w:numPr>
          <w:numId w:val="0"/>
        </w:numPr>
        <w:ind w:left="576" w:leftChars="0" w:firstLine="0" w:firstLineChars="0"/>
        <w:jc w:val="left"/>
        <w:rPr>
          <w:rFonts w:hint="eastAsia"/>
        </w:rPr>
      </w:pPr>
      <w:r>
        <w:rPr>
          <w:rFonts w:hint="eastAsia"/>
        </w:rPr>
        <w:t>肢体不自由１級又は２級の身体障害者手帳及びＡ判定の療育手帳の交付を受けている児（者）若しくは身体障害者手帳及び療育手帳を所持していないが、前記の者と同程度の重度の障害を有していると認められる児（者）。</w:t>
      </w:r>
    </w:p>
    <w:p>
      <w:pPr>
        <w:pStyle w:val="0"/>
        <w:numPr>
          <w:ilvl w:val="0"/>
          <w:numId w:val="134"/>
        </w:numPr>
        <w:jc w:val="left"/>
        <w:rPr>
          <w:rFonts w:hint="eastAsia"/>
        </w:rPr>
      </w:pPr>
      <w:r>
        <w:rPr>
          <w:rFonts w:hint="eastAsia" w:ascii="ＭＳ ゴシック" w:hAnsi="ＭＳ ゴシック" w:eastAsia="ＭＳ ゴシック"/>
        </w:rPr>
        <w:t>重度訪問介護</w:t>
      </w:r>
      <w:r>
        <w:rPr>
          <w:rFonts w:hint="default" w:ascii="ＭＳ ゴシック" w:hAnsi="ＭＳ ゴシック" w:eastAsia="ＭＳ ゴシック"/>
        </w:rPr>
        <w:br w:type="textWrapping" w:clear="none"/>
      </w:r>
      <w:r>
        <w:rPr>
          <w:rFonts w:hint="eastAsia"/>
        </w:rPr>
        <w:t>重度の肢体不自由者で常に介護を必要とする人に、自宅で入浴、排せつ、食事の介護、外出時における移動支援などを総合的に行うサービス。</w:t>
      </w:r>
    </w:p>
    <w:p>
      <w:pPr>
        <w:pStyle w:val="0"/>
        <w:numPr>
          <w:ilvl w:val="0"/>
          <w:numId w:val="134"/>
        </w:numPr>
        <w:jc w:val="left"/>
        <w:rPr>
          <w:rFonts w:hint="eastAsia"/>
        </w:rPr>
      </w:pPr>
      <w:r>
        <w:rPr>
          <w:rFonts w:hint="eastAsia" w:ascii="ＭＳ ゴシック" w:hAnsi="ＭＳ ゴシック" w:eastAsia="ＭＳ ゴシック"/>
        </w:rPr>
        <w:t>就労移行支援</w:t>
      </w:r>
      <w:r>
        <w:rPr>
          <w:rFonts w:hint="default" w:ascii="ＭＳ ゴシック" w:hAnsi="ＭＳ ゴシック" w:eastAsia="ＭＳ ゴシック"/>
        </w:rPr>
        <w:br w:type="textWrapping" w:clear="none"/>
      </w:r>
      <w:r>
        <w:rPr>
          <w:rFonts w:hint="eastAsia"/>
        </w:rPr>
        <w:t>一般企業等への就労を希望する人に、一定期間、就労に必要な知識及び能力の向上のために必要な訓練を行うサービス。</w:t>
      </w:r>
    </w:p>
    <w:p>
      <w:pPr>
        <w:pStyle w:val="0"/>
        <w:numPr>
          <w:ilvl w:val="0"/>
          <w:numId w:val="134"/>
        </w:numPr>
        <w:jc w:val="left"/>
        <w:rPr>
          <w:rFonts w:hint="eastAsia"/>
        </w:rPr>
      </w:pPr>
      <w:r>
        <w:rPr>
          <w:rFonts w:hint="eastAsia" w:ascii="ＭＳ ゴシック" w:hAnsi="ＭＳ ゴシック" w:eastAsia="ＭＳ ゴシック"/>
        </w:rPr>
        <w:t>手話</w:t>
      </w:r>
      <w:r>
        <w:rPr>
          <w:rFonts w:hint="default" w:ascii="ＭＳ ゴシック" w:hAnsi="ＭＳ ゴシック" w:eastAsia="ＭＳ ゴシック"/>
        </w:rPr>
        <w:br w:type="textWrapping" w:clear="none"/>
      </w:r>
      <w:r>
        <w:rPr>
          <w:rFonts w:hint="eastAsia"/>
        </w:rPr>
        <w:t>ろう者が、コミュニケーションをとったり、物事を考えたりするときに使う言葉で、手指の動きや表情等を使って、概念や意思を視覚的に表現する視覚言語。</w:t>
      </w:r>
      <w:r>
        <w:rPr>
          <w:rFonts w:hint="eastAsia"/>
        </w:rPr>
        <w:t>2006</w:t>
      </w:r>
      <w:r>
        <w:rPr>
          <w:rFonts w:hint="eastAsia"/>
        </w:rPr>
        <w:t>年に採択された国連の障害者権利条約や、</w:t>
      </w:r>
      <w:r>
        <w:rPr>
          <w:rFonts w:hint="eastAsia"/>
        </w:rPr>
        <w:t>2011</w:t>
      </w:r>
      <w:r>
        <w:rPr>
          <w:rFonts w:hint="eastAsia"/>
        </w:rPr>
        <w:t>年に改正された障害者基本法では、手話が言語であることが定義されている。</w:t>
      </w:r>
    </w:p>
    <w:p>
      <w:pPr>
        <w:pStyle w:val="0"/>
        <w:numPr>
          <w:ilvl w:val="0"/>
          <w:numId w:val="134"/>
        </w:numPr>
        <w:jc w:val="left"/>
        <w:rPr>
          <w:rFonts w:hint="eastAsia"/>
        </w:rPr>
      </w:pPr>
      <w:r>
        <w:rPr>
          <w:rFonts w:hint="eastAsia" w:ascii="ＭＳ ゴシック" w:hAnsi="ＭＳ ゴシック" w:eastAsia="ＭＳ ゴシック"/>
        </w:rPr>
        <w:t>手話通訳者</w:t>
      </w:r>
      <w:r>
        <w:rPr>
          <w:rFonts w:hint="default" w:ascii="ＭＳ ゴシック" w:hAnsi="ＭＳ ゴシック" w:eastAsia="ＭＳ ゴシック"/>
        </w:rPr>
        <w:br w:type="textWrapping" w:clear="none"/>
      </w:r>
      <w:r>
        <w:rPr>
          <w:rFonts w:hint="eastAsia"/>
        </w:rPr>
        <w:t>聴覚等の障害のため、意思疎通等を図ることに支障ある障害のある人等に対し、手話により意思疎通支援を行う者。</w:t>
      </w:r>
    </w:p>
    <w:p>
      <w:pPr>
        <w:pStyle w:val="0"/>
        <w:numPr>
          <w:ilvl w:val="0"/>
          <w:numId w:val="134"/>
        </w:numPr>
        <w:jc w:val="left"/>
        <w:rPr>
          <w:rFonts w:hint="eastAsia"/>
        </w:rPr>
      </w:pPr>
      <w:r>
        <w:rPr>
          <w:rFonts w:hint="eastAsia" w:ascii="ＭＳ ゴシック" w:hAnsi="ＭＳ ゴシック" w:eastAsia="ＭＳ ゴシック"/>
        </w:rPr>
        <w:t>障害者虐待防止支援センター</w:t>
      </w:r>
      <w:r>
        <w:rPr>
          <w:rFonts w:hint="default" w:ascii="ＭＳ ゴシック" w:hAnsi="ＭＳ ゴシック" w:eastAsia="ＭＳ ゴシック"/>
        </w:rPr>
        <w:br w:type="textWrapping" w:clear="none"/>
      </w:r>
      <w:r>
        <w:rPr>
          <w:rFonts w:hint="eastAsia"/>
        </w:rPr>
        <w:t>市町障害者虐待防止センターは、障害のある人に対する虐待に関する通報・届出窓口となるほか、相談、指導助言等を行う機関。県障害者虐待防止支援センターは、使用者による虐待の通報・届出窓口となるほか、権利擁護等の専門的な事項に関し市町障害者虐待防止センターに助言等を行う機関（法律上の「都道府県権利擁護センター」にあたる）。</w:t>
      </w:r>
    </w:p>
    <w:p>
      <w:pPr>
        <w:pStyle w:val="0"/>
        <w:numPr>
          <w:ilvl w:val="0"/>
          <w:numId w:val="134"/>
        </w:numPr>
        <w:jc w:val="left"/>
        <w:rPr>
          <w:rFonts w:hint="eastAsia"/>
        </w:rPr>
      </w:pPr>
      <w:r>
        <w:rPr>
          <w:rFonts w:hint="eastAsia" w:ascii="ＭＳ ゴシック" w:hAnsi="ＭＳ ゴシック" w:eastAsia="ＭＳ ゴシック"/>
        </w:rPr>
        <w:t>障害者試行雇用（トライアル雇用）</w:t>
      </w:r>
      <w:r>
        <w:rPr>
          <w:rFonts w:hint="default" w:ascii="ＭＳ ゴシック" w:hAnsi="ＭＳ ゴシック" w:eastAsia="ＭＳ ゴシック"/>
        </w:rPr>
        <w:br w:type="textWrapping" w:clear="none"/>
      </w:r>
      <w:r>
        <w:rPr>
          <w:rFonts w:hint="eastAsia"/>
        </w:rPr>
        <w:t>有期雇用契約による試行雇用。この期間に企業は適性を見極めるとともに、障害のある人も仕事や職場について知ることができるため、双方にとってメリットがあり、障害のある人の雇用を促進することができる。</w:t>
      </w:r>
    </w:p>
    <w:p>
      <w:pPr>
        <w:pStyle w:val="0"/>
        <w:numPr>
          <w:ilvl w:val="0"/>
          <w:numId w:val="134"/>
        </w:numPr>
        <w:jc w:val="left"/>
        <w:rPr>
          <w:rFonts w:hint="eastAsia"/>
        </w:rPr>
      </w:pPr>
      <w:r>
        <w:rPr>
          <w:rFonts w:hint="eastAsia" w:ascii="ＭＳ ゴシック" w:hAnsi="ＭＳ ゴシック" w:eastAsia="ＭＳ ゴシック"/>
        </w:rPr>
        <w:t>障害者週間</w:t>
      </w:r>
      <w:r>
        <w:rPr>
          <w:rFonts w:hint="default" w:ascii="ＭＳ ゴシック" w:hAnsi="ＭＳ ゴシック" w:eastAsia="ＭＳ ゴシック"/>
        </w:rPr>
        <w:br w:type="textWrapping" w:clear="none"/>
      </w:r>
      <w:r>
        <w:rPr>
          <w:rFonts w:hint="eastAsia"/>
        </w:rPr>
        <w:t>国民の間に広く障害のある人の福祉についての関心と理解を深めるとともに、障害のある人が社会、経済、文化その他あらゆる分野の活動に積極的に参加する意識を高めることを目的とした週間。</w:t>
      </w:r>
      <w:r>
        <w:rPr>
          <w:rFonts w:hint="eastAsia"/>
        </w:rPr>
        <w:t>12</w:t>
      </w:r>
      <w:r>
        <w:rPr>
          <w:rFonts w:hint="eastAsia"/>
        </w:rPr>
        <w:t>月３日から９日まで、障害のある人に関する啓発活動等を実施している。</w:t>
      </w:r>
    </w:p>
    <w:p>
      <w:pPr>
        <w:pStyle w:val="0"/>
        <w:numPr>
          <w:ilvl w:val="0"/>
          <w:numId w:val="134"/>
        </w:numPr>
        <w:jc w:val="left"/>
        <w:rPr>
          <w:rFonts w:hint="eastAsia"/>
        </w:rPr>
      </w:pPr>
      <w:r>
        <w:rPr>
          <w:rFonts w:hint="eastAsia" w:ascii="ＭＳ ゴシック" w:hAnsi="ＭＳ ゴシック" w:eastAsia="ＭＳ ゴシック"/>
        </w:rPr>
        <w:t>障害者就業・生活支援センター</w:t>
      </w:r>
      <w:r>
        <w:rPr>
          <w:rFonts w:hint="default" w:ascii="ＭＳ ゴシック" w:hAnsi="ＭＳ ゴシック" w:eastAsia="ＭＳ ゴシック"/>
        </w:rPr>
        <w:br w:type="textWrapping" w:clear="none"/>
      </w:r>
      <w:r>
        <w:rPr>
          <w:rFonts w:hint="eastAsia"/>
        </w:rPr>
        <w:t>障害があるため、就職や職場への定着が困難である人や就職経験のない人を対象として、身近な地域で雇用・福祉・教育等の関係機関と連携しながら、就業とそれに伴う生活に関する指導・助言、職業準備訓練のあっせんなど、職業生活における自立を図るために必要な支援を行う施設。</w:t>
      </w:r>
    </w:p>
    <w:p>
      <w:pPr>
        <w:pStyle w:val="0"/>
        <w:numPr>
          <w:ilvl w:val="0"/>
          <w:numId w:val="134"/>
        </w:numPr>
        <w:jc w:val="left"/>
        <w:rPr>
          <w:rFonts w:hint="eastAsia"/>
        </w:rPr>
      </w:pPr>
      <w:r>
        <w:rPr>
          <w:rFonts w:hint="eastAsia" w:ascii="ＭＳ ゴシック" w:hAnsi="ＭＳ ゴシック" w:eastAsia="ＭＳ ゴシック"/>
        </w:rPr>
        <w:t>障害者就労応援団</w:t>
      </w:r>
      <w:r>
        <w:rPr>
          <w:rFonts w:hint="eastAsia" w:ascii="ＭＳ ゴシック" w:hAnsi="ＭＳ ゴシック" w:eastAsia="ＭＳ ゴシック"/>
        </w:rPr>
        <w:tab/>
      </w:r>
      <w:r>
        <w:rPr>
          <w:rFonts w:hint="default" w:ascii="ＭＳ ゴシック" w:hAnsi="ＭＳ ゴシック" w:eastAsia="ＭＳ ゴシック"/>
        </w:rPr>
        <w:br w:type="textWrapping" w:clear="none"/>
      </w:r>
      <w:r>
        <w:rPr>
          <w:rFonts w:hint="eastAsia"/>
        </w:rPr>
        <w:t>障害者雇用の促進及び</w:t>
      </w:r>
      <w:r>
        <w:rPr>
          <w:rFonts w:hint="eastAsia"/>
          <w:strike w:val="0"/>
          <w:dstrike w:val="0"/>
          <w:color w:val="auto"/>
          <w:highlight w:val="none"/>
        </w:rPr>
        <w:t>ふじのくに福産品</w:t>
      </w:r>
      <w:r>
        <w:rPr>
          <w:rFonts w:hint="eastAsia"/>
        </w:rPr>
        <w:t>の販売促進を図るために、障害者雇用に実績がある企業等が登録して集まった応援団。障害者雇用を検討している企業等に支援を行う。</w:t>
      </w:r>
    </w:p>
    <w:p>
      <w:pPr>
        <w:pStyle w:val="0"/>
        <w:numPr>
          <w:ilvl w:val="0"/>
          <w:numId w:val="134"/>
        </w:numPr>
        <w:jc w:val="left"/>
        <w:rPr>
          <w:rFonts w:hint="eastAsia"/>
        </w:rPr>
      </w:pPr>
      <w:r>
        <w:rPr>
          <w:rFonts w:hint="eastAsia" w:ascii="ＭＳ ゴシック" w:hAnsi="ＭＳ ゴシック" w:eastAsia="ＭＳ ゴシック"/>
        </w:rPr>
        <w:t>障害者働く幸せ創出センター</w:t>
      </w:r>
      <w:r>
        <w:rPr>
          <w:rFonts w:hint="default" w:ascii="ＭＳ ゴシック" w:hAnsi="ＭＳ ゴシック" w:eastAsia="ＭＳ ゴシック"/>
        </w:rPr>
        <w:br w:type="textWrapping" w:clear="none"/>
      </w:r>
      <w:r>
        <w:rPr>
          <w:rFonts w:hint="eastAsia"/>
        </w:rPr>
        <w:t>障害のある人が一般企業や障害者就労施設等で就労するかを問わず、働くことを総合的に支援する目的で</w:t>
      </w:r>
      <w:r>
        <w:rPr>
          <w:rFonts w:hint="eastAsia"/>
        </w:rPr>
        <w:t>2010</w:t>
      </w:r>
      <w:r>
        <w:rPr>
          <w:rFonts w:hint="eastAsia"/>
        </w:rPr>
        <w:t>年５月に県が静岡市葵区呉服町に開設した拠点施設。総合相談窓口の開設や</w:t>
      </w:r>
      <w:r>
        <w:rPr>
          <w:rFonts w:hint="eastAsia"/>
          <w:color w:val="auto"/>
          <w:highlight w:val="none"/>
        </w:rPr>
        <w:t>県</w:t>
      </w:r>
      <w:r>
        <w:rPr>
          <w:rFonts w:hint="eastAsia"/>
          <w:strike w:val="0"/>
          <w:dstrike w:val="0"/>
          <w:color w:val="auto"/>
          <w:highlight w:val="none"/>
        </w:rPr>
        <w:t>内の</w:t>
      </w:r>
      <w:r>
        <w:rPr>
          <w:rFonts w:hint="eastAsia"/>
        </w:rPr>
        <w:t>障害者就労施設等や障害のある人に係る情報収集・発信、授産事業の支援など、福祉と産業界をつなぐ取組を行っている。</w:t>
      </w:r>
    </w:p>
    <w:p>
      <w:pPr>
        <w:pStyle w:val="0"/>
        <w:numPr>
          <w:ilvl w:val="0"/>
          <w:numId w:val="134"/>
        </w:numPr>
        <w:jc w:val="left"/>
        <w:rPr>
          <w:rFonts w:hint="eastAsia"/>
        </w:rPr>
      </w:pPr>
      <w:r>
        <w:rPr>
          <w:rFonts w:hint="eastAsia" w:ascii="ＭＳ ゴシック" w:hAnsi="ＭＳ ゴシック" w:eastAsia="ＭＳ ゴシック"/>
        </w:rPr>
        <w:t>障害を理由とする差別解消推進県民会議</w:t>
      </w:r>
      <w:r>
        <w:rPr>
          <w:rFonts w:hint="default" w:ascii="ＭＳ ゴシック" w:hAnsi="ＭＳ ゴシック" w:eastAsia="ＭＳ ゴシック"/>
        </w:rPr>
        <w:br w:type="textWrapping" w:clear="none"/>
      </w:r>
      <w:r>
        <w:rPr>
          <w:rFonts w:hint="eastAsia"/>
        </w:rPr>
        <w:t>県や市町、障害のある人や関係団体だけでなく、県民が一体となって「オール静岡」で障害を理由とする差別解消を推進するため、障害者差別解消条例に基づいて開催する会議。</w:t>
      </w:r>
    </w:p>
    <w:p>
      <w:pPr>
        <w:pStyle w:val="0"/>
        <w:numPr>
          <w:ilvl w:val="0"/>
          <w:numId w:val="134"/>
        </w:numPr>
        <w:jc w:val="left"/>
        <w:rPr>
          <w:rFonts w:hint="eastAsia"/>
        </w:rPr>
      </w:pPr>
      <w:r>
        <w:rPr>
          <w:rFonts w:hint="eastAsia" w:ascii="ＭＳ ゴシック" w:hAnsi="ＭＳ ゴシック" w:eastAsia="ＭＳ ゴシック"/>
        </w:rPr>
        <w:t>小児慢性特定疾病</w:t>
      </w:r>
      <w:r>
        <w:rPr>
          <w:rFonts w:hint="default" w:ascii="ＭＳ ゴシック" w:hAnsi="ＭＳ ゴシック" w:eastAsia="ＭＳ ゴシック"/>
        </w:rPr>
        <w:br w:type="textWrapping" w:clear="none"/>
      </w:r>
      <w:r>
        <w:rPr>
          <w:rFonts w:hint="eastAsia"/>
        </w:rPr>
        <w:t>子どもの慢性の病気の中でも、発育や生命に重大な影響を持ち、治療に長い期間と高額な医療費がかかる病気のこと。治療研究事業としての医療費助成があり、対象となる病名や症状がそれぞれ定められている。</w:t>
      </w:r>
    </w:p>
    <w:p>
      <w:pPr>
        <w:pStyle w:val="0"/>
        <w:numPr>
          <w:ilvl w:val="0"/>
          <w:numId w:val="134"/>
        </w:numPr>
        <w:jc w:val="left"/>
        <w:rPr>
          <w:rFonts w:hint="eastAsia"/>
        </w:rPr>
      </w:pPr>
      <w:r>
        <w:rPr>
          <w:rFonts w:hint="eastAsia" w:ascii="ＭＳ ゴシック" w:hAnsi="ＭＳ ゴシック" w:eastAsia="ＭＳ ゴシック"/>
        </w:rPr>
        <w:t>職場適応援助者（ジョブコーチ）</w:t>
      </w:r>
      <w:r>
        <w:rPr>
          <w:rFonts w:hint="default" w:ascii="ＭＳ ゴシック" w:hAnsi="ＭＳ ゴシック" w:eastAsia="ＭＳ ゴシック"/>
        </w:rPr>
        <w:br w:type="textWrapping" w:clear="none"/>
      </w:r>
      <w:r>
        <w:rPr>
          <w:rFonts w:hint="eastAsia"/>
        </w:rPr>
        <w:t>障害のある人が職場の習慣や人間関係に適応し働いていくため、作業工程の工夫、作業指導の方法などを助言するとともに、通勤時、就労時などのサポートを行う者。</w:t>
      </w:r>
    </w:p>
    <w:p>
      <w:pPr>
        <w:pStyle w:val="0"/>
        <w:numPr>
          <w:ilvl w:val="0"/>
          <w:numId w:val="134"/>
        </w:numPr>
        <w:jc w:val="left"/>
        <w:rPr>
          <w:rFonts w:hint="eastAsia"/>
        </w:rPr>
      </w:pPr>
      <w:r>
        <w:rPr>
          <w:rFonts w:hint="eastAsia" w:ascii="ＭＳ ゴシック" w:hAnsi="ＭＳ ゴシック" w:eastAsia="ＭＳ ゴシック"/>
        </w:rPr>
        <w:t>処遇改善加算制度</w:t>
      </w:r>
    </w:p>
    <w:p>
      <w:pPr>
        <w:pStyle w:val="0"/>
        <w:numPr>
          <w:numId w:val="0"/>
        </w:numPr>
        <w:ind w:left="576" w:leftChars="0" w:firstLine="0" w:firstLineChars="0"/>
        <w:jc w:val="left"/>
        <w:rPr>
          <w:rFonts w:hint="eastAsia"/>
        </w:rPr>
      </w:pPr>
      <w:r>
        <w:rPr>
          <w:rFonts w:hint="eastAsia"/>
        </w:rPr>
        <w:t>平成</w:t>
      </w:r>
      <w:r>
        <w:rPr>
          <w:rFonts w:hint="eastAsia"/>
        </w:rPr>
        <w:t>23</w:t>
      </w:r>
      <w:r>
        <w:rPr>
          <w:rFonts w:hint="eastAsia"/>
        </w:rPr>
        <w:t>年度まで実施されていた福祉・介護人材の処遇改善事業における助成金による賃金改善の効果を継続する観点から、平成</w:t>
      </w:r>
      <w:r>
        <w:rPr>
          <w:rFonts w:hint="eastAsia"/>
        </w:rPr>
        <w:t>24</w:t>
      </w:r>
      <w:r>
        <w:rPr>
          <w:rFonts w:hint="eastAsia"/>
        </w:rPr>
        <w:t>年度から当該助成金を円滑に障害福祉サービス等報酬に移行し、当該助成金の対象であった障害福祉サービス等に従事する福祉・介護職員の賃金改善に充てることを目的に創設された制度。</w:t>
      </w:r>
    </w:p>
    <w:p>
      <w:pPr>
        <w:pStyle w:val="0"/>
        <w:numPr>
          <w:ilvl w:val="0"/>
          <w:numId w:val="134"/>
        </w:numPr>
        <w:jc w:val="left"/>
        <w:rPr>
          <w:rFonts w:hint="eastAsia"/>
        </w:rPr>
      </w:pPr>
      <w:r>
        <w:rPr>
          <w:rFonts w:hint="eastAsia" w:ascii="ＭＳ ゴシック" w:hAnsi="ＭＳ ゴシック" w:eastAsia="ＭＳ ゴシック"/>
        </w:rPr>
        <w:t>自立訓練</w:t>
      </w:r>
      <w:r>
        <w:rPr>
          <w:rFonts w:hint="default" w:ascii="ＭＳ ゴシック" w:hAnsi="ＭＳ ゴシック" w:eastAsia="ＭＳ ゴシック"/>
        </w:rPr>
        <w:br w:type="textWrapping" w:clear="none"/>
      </w:r>
      <w:r>
        <w:rPr>
          <w:rFonts w:hint="eastAsia"/>
        </w:rPr>
        <w:t>自立した日常生活又は社会生活ができるように一定期間、身体機能又は生活能力の向上のために必要な訓練を行うサービス。</w:t>
      </w:r>
    </w:p>
    <w:p>
      <w:pPr>
        <w:pStyle w:val="0"/>
        <w:numPr>
          <w:ilvl w:val="0"/>
          <w:numId w:val="134"/>
        </w:numPr>
        <w:jc w:val="left"/>
        <w:rPr>
          <w:rFonts w:hint="eastAsia"/>
        </w:rPr>
      </w:pPr>
      <w:r>
        <w:rPr>
          <w:rFonts w:hint="eastAsia" w:ascii="ＭＳ ゴシック" w:hAnsi="ＭＳ ゴシック" w:eastAsia="ＭＳ ゴシック"/>
        </w:rPr>
        <w:t>自立支援医療</w:t>
      </w:r>
      <w:r>
        <w:rPr>
          <w:rFonts w:hint="default" w:ascii="ＭＳ ゴシック" w:hAnsi="ＭＳ ゴシック" w:eastAsia="ＭＳ ゴシック"/>
        </w:rPr>
        <w:br w:type="textWrapping" w:clear="none"/>
      </w:r>
      <w:r>
        <w:rPr>
          <w:rFonts w:hint="eastAsia"/>
        </w:rPr>
        <w:t>障害のある人等に対し、その心身の障害の状態の軽減を図り、自立した日常生活又は社会生活を営むために必要な医療。</w:t>
      </w:r>
    </w:p>
    <w:p>
      <w:pPr>
        <w:pStyle w:val="0"/>
        <w:numPr>
          <w:ilvl w:val="0"/>
          <w:numId w:val="134"/>
        </w:numPr>
        <w:jc w:val="left"/>
        <w:rPr>
          <w:rFonts w:hint="eastAsia"/>
        </w:rPr>
      </w:pPr>
      <w:r>
        <w:rPr>
          <w:rFonts w:hint="eastAsia" w:ascii="ＭＳ ゴシック" w:hAnsi="ＭＳ ゴシック" w:eastAsia="ＭＳ ゴシック"/>
        </w:rPr>
        <w:t>自立支援給付</w:t>
      </w:r>
      <w:r>
        <w:rPr>
          <w:rFonts w:hint="default" w:ascii="ＭＳ ゴシック" w:hAnsi="ＭＳ ゴシック" w:eastAsia="ＭＳ ゴシック"/>
        </w:rPr>
        <w:br w:type="textWrapping" w:clear="none"/>
      </w:r>
      <w:r>
        <w:rPr>
          <w:rFonts w:hint="eastAsia"/>
        </w:rPr>
        <w:t>障害福祉サービスに係る介護給付費等、地域相談支援給付費等、自立支援医療費等及び補装具費の支給。</w:t>
      </w:r>
    </w:p>
    <w:p>
      <w:pPr>
        <w:pStyle w:val="0"/>
        <w:numPr>
          <w:ilvl w:val="0"/>
          <w:numId w:val="134"/>
        </w:numPr>
        <w:jc w:val="left"/>
        <w:rPr>
          <w:rFonts w:hint="eastAsia"/>
        </w:rPr>
      </w:pPr>
      <w:r>
        <w:rPr>
          <w:rFonts w:hint="eastAsia" w:ascii="ＭＳ ゴシック" w:hAnsi="ＭＳ ゴシック" w:eastAsia="ＭＳ ゴシック"/>
        </w:rPr>
        <w:t>人権啓発センター</w:t>
      </w:r>
      <w:r>
        <w:rPr>
          <w:rFonts w:hint="default" w:ascii="ＭＳ ゴシック" w:hAnsi="ＭＳ ゴシック" w:eastAsia="ＭＳ ゴシック"/>
        </w:rPr>
        <w:br w:type="textWrapping" w:clear="none"/>
      </w:r>
      <w:r>
        <w:rPr>
          <w:rFonts w:hint="eastAsia"/>
        </w:rPr>
        <w:t>県民一人ひとりの生活の中に人権尊重の意識が定着し、誰もが幸せに暮らせる静岡県の実現に向け、様々な人権啓発活動や人権相談を行う機関</w:t>
      </w:r>
      <w:r>
        <w:rPr>
          <w:rFonts w:hint="eastAsia"/>
          <w:color w:val="auto"/>
          <w:highlight w:val="none"/>
        </w:rPr>
        <w:t>（県健康福祉部内に設置）</w:t>
      </w:r>
      <w:r>
        <w:rPr>
          <w:rFonts w:hint="eastAsia"/>
        </w:rPr>
        <w:t>。講師派遣</w:t>
      </w:r>
      <w:r>
        <w:rPr>
          <w:rFonts w:hint="eastAsia"/>
        </w:rPr>
        <w:t>(</w:t>
      </w:r>
      <w:r>
        <w:rPr>
          <w:rFonts w:hint="eastAsia"/>
        </w:rPr>
        <w:t>出前人権講座）やＤＶＤ、図書の貸出等により人権学習を支援する等、県民に広く開かれた人権啓発の拠点。</w:t>
      </w:r>
    </w:p>
    <w:p>
      <w:pPr>
        <w:pStyle w:val="0"/>
        <w:numPr>
          <w:ilvl w:val="0"/>
          <w:numId w:val="134"/>
        </w:numPr>
        <w:jc w:val="left"/>
        <w:rPr>
          <w:rFonts w:hint="eastAsia"/>
        </w:rPr>
      </w:pPr>
      <w:r>
        <w:rPr>
          <w:rFonts w:hint="eastAsia" w:ascii="ＭＳ ゴシック" w:hAnsi="ＭＳ ゴシック" w:eastAsia="ＭＳ ゴシック"/>
        </w:rPr>
        <w:t>新生児聴覚スクリーニング検査</w:t>
      </w:r>
    </w:p>
    <w:p>
      <w:pPr>
        <w:pStyle w:val="0"/>
        <w:numPr>
          <w:numId w:val="0"/>
        </w:numPr>
        <w:ind w:left="576" w:leftChars="0" w:firstLine="0" w:firstLineChars="0"/>
        <w:jc w:val="left"/>
        <w:rPr>
          <w:rFonts w:hint="eastAsia"/>
        </w:rPr>
      </w:pPr>
      <w:r>
        <w:rPr>
          <w:rFonts w:hint="eastAsia"/>
        </w:rPr>
        <w:t>新生児の聴覚障害を発見するための検査。</w:t>
      </w:r>
    </w:p>
    <w:p>
      <w:pPr>
        <w:pStyle w:val="0"/>
        <w:numPr>
          <w:ilvl w:val="0"/>
          <w:numId w:val="134"/>
        </w:numPr>
        <w:jc w:val="left"/>
        <w:rPr>
          <w:rFonts w:hint="eastAsia"/>
        </w:rPr>
      </w:pPr>
      <w:r>
        <w:rPr>
          <w:rFonts w:hint="eastAsia" w:ascii="ＭＳ ゴシック" w:hAnsi="ＭＳ ゴシック" w:eastAsia="ＭＳ ゴシック"/>
        </w:rPr>
        <w:t>身体障害者更生相談所</w:t>
      </w:r>
      <w:r>
        <w:rPr>
          <w:rFonts w:hint="default" w:ascii="ＭＳ ゴシック" w:hAnsi="ＭＳ ゴシック" w:eastAsia="ＭＳ ゴシック"/>
        </w:rPr>
        <w:br w:type="textWrapping" w:clear="none"/>
      </w:r>
      <w:r>
        <w:rPr>
          <w:rFonts w:hint="eastAsia"/>
        </w:rPr>
        <w:t>身体障害のある人の更生援護の利便及び市町における援護の適切な実施を支援するため、専門的な相談・指導を行う機関。</w:t>
      </w:r>
    </w:p>
    <w:p>
      <w:pPr>
        <w:pStyle w:val="0"/>
        <w:numPr>
          <w:ilvl w:val="0"/>
          <w:numId w:val="134"/>
        </w:numPr>
        <w:jc w:val="left"/>
        <w:rPr>
          <w:rFonts w:hint="eastAsia"/>
        </w:rPr>
      </w:pPr>
      <w:r>
        <w:rPr>
          <w:rFonts w:hint="eastAsia" w:ascii="ＭＳ ゴシック" w:hAnsi="ＭＳ ゴシック" w:eastAsia="ＭＳ ゴシック"/>
        </w:rPr>
        <w:t>身体障害者相談員</w:t>
      </w:r>
      <w:r>
        <w:rPr>
          <w:rFonts w:hint="default" w:ascii="ＭＳ ゴシック" w:hAnsi="ＭＳ ゴシック" w:eastAsia="ＭＳ ゴシック"/>
        </w:rPr>
        <w:br w:type="textWrapping" w:clear="none"/>
      </w:r>
      <w:r>
        <w:rPr>
          <w:rFonts w:hint="eastAsia"/>
        </w:rPr>
        <w:t>身体障害者福祉法に基づき、市町が委託（設置）する相談員。原則として身体障害当事者であり、自身の様々な経験や情報を活かし、身近な地域で当事者の目線に立った相談援助を担う。</w:t>
      </w:r>
    </w:p>
    <w:p>
      <w:pPr>
        <w:pStyle w:val="0"/>
        <w:numPr>
          <w:ilvl w:val="0"/>
          <w:numId w:val="134"/>
        </w:numPr>
        <w:jc w:val="left"/>
        <w:rPr>
          <w:rFonts w:hint="eastAsia"/>
        </w:rPr>
      </w:pPr>
      <w:r>
        <w:rPr>
          <w:rFonts w:hint="eastAsia" w:ascii="ＭＳ ゴシック" w:hAnsi="ＭＳ ゴシック" w:eastAsia="ＭＳ ゴシック"/>
        </w:rPr>
        <w:t>身体障害者補助犬</w:t>
      </w:r>
      <w:r>
        <w:rPr>
          <w:rFonts w:hint="default" w:ascii="ＭＳ ゴシック" w:hAnsi="ＭＳ ゴシック" w:eastAsia="ＭＳ ゴシック"/>
        </w:rPr>
        <w:br w:type="textWrapping" w:clear="none"/>
      </w:r>
      <w:r>
        <w:rPr>
          <w:rFonts w:hint="eastAsia"/>
        </w:rPr>
        <w:t>盲導犬、聴導犬、介助犬の総称。</w:t>
      </w:r>
      <w:r>
        <w:rPr>
          <w:rFonts w:hint="eastAsia"/>
        </w:rPr>
        <w:t>2002</w:t>
      </w:r>
      <w:r>
        <w:rPr>
          <w:rFonts w:hint="eastAsia"/>
        </w:rPr>
        <w:t>年</w:t>
      </w:r>
      <w:r>
        <w:rPr>
          <w:rFonts w:hint="eastAsia"/>
        </w:rPr>
        <w:t>10</w:t>
      </w:r>
      <w:r>
        <w:rPr>
          <w:rFonts w:hint="eastAsia"/>
        </w:rPr>
        <w:t>月１日から身体障害者補助犬法が施行されている。</w:t>
      </w:r>
    </w:p>
    <w:p>
      <w:pPr>
        <w:pStyle w:val="0"/>
        <w:numPr>
          <w:ilvl w:val="0"/>
          <w:numId w:val="134"/>
        </w:numPr>
        <w:jc w:val="left"/>
        <w:rPr>
          <w:rFonts w:hint="eastAsia"/>
        </w:rPr>
      </w:pPr>
      <w:r>
        <w:rPr>
          <w:rFonts w:hint="eastAsia" w:ascii="ＭＳ ゴシック" w:hAnsi="ＭＳ ゴシック" w:eastAsia="ＭＳ ゴシック"/>
        </w:rPr>
        <w:t>心的外傷後ストレス障害（</w:t>
      </w:r>
      <w:r>
        <w:rPr>
          <w:rFonts w:hint="eastAsia" w:ascii="ＭＳ ゴシック" w:hAnsi="ＭＳ ゴシック" w:eastAsia="ＭＳ ゴシック"/>
        </w:rPr>
        <w:t>PTSD</w:t>
      </w:r>
      <w:r>
        <w:rPr>
          <w:rFonts w:hint="eastAsia" w:ascii="ＭＳ ゴシック" w:hAnsi="ＭＳ ゴシック" w:eastAsia="ＭＳ ゴシック"/>
        </w:rPr>
        <w:t>＝</w:t>
      </w:r>
      <w:r>
        <w:rPr>
          <w:rFonts w:hint="eastAsia" w:ascii="ＭＳ ゴシック" w:hAnsi="ＭＳ ゴシック" w:eastAsia="ＭＳ ゴシック"/>
        </w:rPr>
        <w:t>Post-TraumaticStressDisorder</w:t>
      </w:r>
      <w:r>
        <w:rPr>
          <w:rFonts w:hint="eastAsia" w:ascii="ＭＳ ゴシック" w:hAnsi="ＭＳ ゴシック" w:eastAsia="ＭＳ ゴシック"/>
        </w:rPr>
        <w:t>）</w:t>
      </w:r>
      <w:r>
        <w:rPr>
          <w:rFonts w:hint="default" w:ascii="ＭＳ ゴシック" w:hAnsi="ＭＳ ゴシック" w:eastAsia="ＭＳ ゴシック"/>
        </w:rPr>
        <w:br w:type="textWrapping" w:clear="none"/>
      </w:r>
      <w:r>
        <w:rPr>
          <w:rFonts w:hint="eastAsia"/>
        </w:rPr>
        <w:t>心に受けた衝撃的な傷（トラウマ）により生じる様々なストレス障害のこと。トラウマには、事故・災害による急性の外傷と虐待・いじめ等による慢性の外傷とがある。</w:t>
      </w:r>
    </w:p>
    <w:p>
      <w:pPr>
        <w:pStyle w:val="0"/>
        <w:numPr>
          <w:ilvl w:val="0"/>
          <w:numId w:val="134"/>
        </w:numPr>
        <w:jc w:val="left"/>
        <w:rPr>
          <w:rFonts w:hint="eastAsia"/>
        </w:rPr>
      </w:pPr>
      <w:r>
        <w:rPr>
          <w:rFonts w:hint="eastAsia" w:ascii="ＭＳ ゴシック" w:hAnsi="ＭＳ ゴシック" w:eastAsia="ＭＳ ゴシック"/>
        </w:rPr>
        <w:t>生活介護（デイサービス）</w:t>
      </w:r>
      <w:r>
        <w:rPr>
          <w:rFonts w:hint="default" w:ascii="ＭＳ ゴシック" w:hAnsi="ＭＳ ゴシック" w:eastAsia="ＭＳ ゴシック"/>
        </w:rPr>
        <w:br w:type="textWrapping" w:clear="none"/>
      </w:r>
      <w:r>
        <w:rPr>
          <w:rFonts w:hint="eastAsia"/>
        </w:rPr>
        <w:t>常に介護を必要とする人に、日中において、入浴、排せつ、食事の介護等を行うとともに、創作的活動又は生産活動の機会を提供するサービス。</w:t>
      </w:r>
    </w:p>
    <w:p>
      <w:pPr>
        <w:pStyle w:val="0"/>
        <w:numPr>
          <w:ilvl w:val="0"/>
          <w:numId w:val="134"/>
        </w:numPr>
        <w:jc w:val="left"/>
        <w:rPr>
          <w:rFonts w:hint="eastAsia"/>
        </w:rPr>
      </w:pPr>
      <w:r>
        <w:rPr>
          <w:rFonts w:hint="eastAsia" w:ascii="ＭＳ ゴシック" w:hAnsi="ＭＳ ゴシック" w:eastAsia="ＭＳ ゴシック"/>
        </w:rPr>
        <w:t>精神科救急医療体制</w:t>
      </w:r>
      <w:r>
        <w:rPr>
          <w:rFonts w:hint="default" w:ascii="ＭＳ ゴシック" w:hAnsi="ＭＳ ゴシック" w:eastAsia="ＭＳ ゴシック"/>
        </w:rPr>
        <w:br w:type="textWrapping" w:clear="none"/>
      </w:r>
      <w:r>
        <w:rPr>
          <w:rFonts w:hint="eastAsia"/>
        </w:rPr>
        <w:t>精神障害のある人の緊急時における適切な医療及び保護の機会を確保するため、</w:t>
      </w:r>
      <w:r>
        <w:rPr>
          <w:rFonts w:hint="eastAsia"/>
        </w:rPr>
        <w:t>24</w:t>
      </w:r>
      <w:r>
        <w:rPr>
          <w:rFonts w:hint="eastAsia"/>
        </w:rPr>
        <w:t>時間の精神科救急医療相談窓口の機能をもった精神科救急情報センターが設置されている体制。休日・夜間において外来診療及び入院治療等を行う基幹病院の設置や搬送体制の整備</w:t>
      </w:r>
      <w:r>
        <w:rPr>
          <w:rFonts w:hint="eastAsia"/>
          <w:strike w:val="0"/>
          <w:dstrike w:val="0"/>
          <w:color w:val="auto"/>
        </w:rPr>
        <w:t>や、</w:t>
      </w:r>
      <w:r>
        <w:rPr>
          <w:rFonts w:hint="eastAsia"/>
          <w:strike w:val="0"/>
          <w:dstrike w:val="0"/>
          <w:color w:val="auto"/>
        </w:rPr>
        <w:t>24</w:t>
      </w:r>
      <w:r>
        <w:rPr>
          <w:rFonts w:hint="eastAsia"/>
          <w:strike w:val="0"/>
          <w:dstrike w:val="0"/>
          <w:color w:val="auto"/>
        </w:rPr>
        <w:t>時間の精神科救急医療相談窓口の機能をもった精神科救急情報センターが設置されている体制</w:t>
      </w:r>
      <w:r>
        <w:rPr>
          <w:rFonts w:hint="eastAsia"/>
          <w:color w:val="auto"/>
        </w:rPr>
        <w:t>。</w:t>
      </w:r>
    </w:p>
    <w:p>
      <w:pPr>
        <w:pStyle w:val="0"/>
        <w:numPr>
          <w:ilvl w:val="0"/>
          <w:numId w:val="134"/>
        </w:numPr>
        <w:jc w:val="left"/>
        <w:rPr>
          <w:rFonts w:hint="eastAsia"/>
        </w:rPr>
      </w:pPr>
      <w:r>
        <w:rPr>
          <w:rFonts w:hint="eastAsia" w:ascii="ＭＳ ゴシック" w:hAnsi="ＭＳ ゴシック" w:eastAsia="ＭＳ ゴシック"/>
        </w:rPr>
        <w:t>精神保健福祉センター</w:t>
      </w:r>
      <w:r>
        <w:rPr>
          <w:rFonts w:hint="default" w:ascii="ＭＳ ゴシック" w:hAnsi="ＭＳ ゴシック" w:eastAsia="ＭＳ ゴシック"/>
        </w:rPr>
        <w:br w:type="textWrapping" w:clear="none"/>
      </w:r>
      <w:r>
        <w:rPr>
          <w:rFonts w:hint="eastAsia"/>
        </w:rPr>
        <w:t>精神保健福祉に係る知識の普及啓発、調査研究、相談等を行う県の機関。</w:t>
      </w:r>
    </w:p>
    <w:p>
      <w:pPr>
        <w:pStyle w:val="0"/>
        <w:numPr>
          <w:ilvl w:val="0"/>
          <w:numId w:val="134"/>
        </w:numPr>
        <w:jc w:val="left"/>
        <w:rPr>
          <w:rFonts w:hint="eastAsia"/>
        </w:rPr>
      </w:pPr>
      <w:r>
        <w:rPr>
          <w:rFonts w:hint="eastAsia" w:ascii="ＭＳ ゴシック" w:hAnsi="ＭＳ ゴシック" w:eastAsia="ＭＳ ゴシック"/>
        </w:rPr>
        <w:t>成年後見制度</w:t>
      </w:r>
      <w:r>
        <w:rPr>
          <w:rFonts w:hint="default" w:ascii="ＭＳ ゴシック" w:hAnsi="ＭＳ ゴシック" w:eastAsia="ＭＳ ゴシック"/>
        </w:rPr>
        <w:br w:type="textWrapping" w:clear="none"/>
      </w:r>
      <w:r>
        <w:rPr>
          <w:rFonts w:hint="eastAsia"/>
        </w:rPr>
        <w:t>認知症や知的障害、精神障害などにより判断能力が十分ではない人の権利を擁護し生活を支援するため、家庭裁判所により選任された後見人が財産管理や身上監護を行う法制度。</w:t>
      </w:r>
    </w:p>
    <w:p>
      <w:pPr>
        <w:pStyle w:val="0"/>
        <w:numPr>
          <w:ilvl w:val="0"/>
          <w:numId w:val="134"/>
        </w:numPr>
        <w:jc w:val="left"/>
        <w:rPr>
          <w:rFonts w:hint="eastAsia"/>
        </w:rPr>
      </w:pPr>
      <w:r>
        <w:rPr>
          <w:rFonts w:hint="eastAsia" w:ascii="ＭＳ ゴシック" w:hAnsi="ＭＳ ゴシック" w:eastAsia="ＭＳ ゴシック"/>
        </w:rPr>
        <w:t>全国障害者技能競技大会（アビリンピック）</w:t>
      </w:r>
      <w:r>
        <w:rPr>
          <w:rFonts w:hint="default" w:ascii="ＭＳ ゴシック" w:hAnsi="ＭＳ ゴシック" w:eastAsia="ＭＳ ゴシック"/>
        </w:rPr>
        <w:br w:type="textWrapping" w:clear="none"/>
      </w:r>
      <w:r>
        <w:rPr>
          <w:rFonts w:hint="eastAsia"/>
        </w:rPr>
        <w:t>障害のある人が、日頃培った技能を互いに競い合うことにより、その職業能力の向上を図るとともに、企業や社会一般の人々に障害のある人に対する理解と認識を深めてもらい、その雇用の促進を図ることを目的として開催する大会（全国大会年</w:t>
      </w:r>
      <w:r>
        <w:rPr>
          <w:rFonts w:hint="eastAsia"/>
        </w:rPr>
        <w:t>1</w:t>
      </w:r>
      <w:r>
        <w:rPr>
          <w:rFonts w:hint="eastAsia"/>
        </w:rPr>
        <w:t>回、国際大会４年に１回開催）。</w:t>
      </w:r>
    </w:p>
    <w:p>
      <w:pPr>
        <w:pStyle w:val="0"/>
        <w:numPr>
          <w:ilvl w:val="0"/>
          <w:numId w:val="134"/>
        </w:numPr>
        <w:jc w:val="left"/>
        <w:rPr>
          <w:rFonts w:hint="eastAsia"/>
        </w:rPr>
      </w:pPr>
      <w:r>
        <w:rPr>
          <w:rFonts w:hint="eastAsia" w:ascii="ＭＳ ゴシック" w:hAnsi="ＭＳ ゴシック" w:eastAsia="ＭＳ ゴシック"/>
        </w:rPr>
        <w:t>相談支援コーディネーター</w:t>
      </w:r>
      <w:r>
        <w:rPr>
          <w:rFonts w:hint="default" w:ascii="ＭＳ ゴシック" w:hAnsi="ＭＳ ゴシック" w:eastAsia="ＭＳ ゴシック"/>
        </w:rPr>
        <w:br w:type="textWrapping" w:clear="none"/>
      </w:r>
      <w:r>
        <w:rPr>
          <w:rFonts w:hint="eastAsia"/>
        </w:rPr>
        <w:t>高次脳機能障害に関する生活面・医療面・就労面等の相談に応じるとともに、関係機関との地域支援ネットワークの構築を行う者。</w:t>
      </w:r>
    </w:p>
    <w:p>
      <w:pPr>
        <w:pStyle w:val="0"/>
        <w:numPr>
          <w:ilvl w:val="0"/>
          <w:numId w:val="134"/>
        </w:numPr>
        <w:jc w:val="left"/>
        <w:rPr>
          <w:rFonts w:hint="eastAsia"/>
        </w:rPr>
      </w:pPr>
      <w:r>
        <w:rPr>
          <w:rFonts w:hint="eastAsia"/>
        </w:rPr>
        <w:t>相談支援専門員</w:t>
      </w:r>
    </w:p>
    <w:p>
      <w:pPr>
        <w:pStyle w:val="0"/>
        <w:numPr>
          <w:numId w:val="0"/>
        </w:numPr>
        <w:ind w:left="576" w:leftChars="0" w:firstLine="0" w:firstLineChars="0"/>
        <w:jc w:val="left"/>
        <w:rPr>
          <w:rFonts w:hint="eastAsia"/>
        </w:rPr>
      </w:pPr>
      <w:r>
        <w:rPr>
          <w:rFonts w:hint="eastAsia"/>
        </w:rPr>
        <w:t>障害のある人が自立した日常生活、社会生活を営むことができるよう、障害福祉サービスなどの利用計画の作成や地域生活への移行・定着に向けた支援、住居入居等支援事業や成年後見制度利用支援事業に関する支援など、障害のある人の全般的な相談支援を行う者。</w:t>
      </w:r>
    </w:p>
    <w:p>
      <w:pPr>
        <w:pStyle w:val="0"/>
        <w:jc w:val="center"/>
        <w:rPr>
          <w:rFonts w:hint="eastAsia" w:ascii="ＭＳ ゴシック" w:hAnsi="ＭＳ ゴシック" w:eastAsia="ＭＳ ゴシック"/>
          <w:sz w:val="26"/>
        </w:rPr>
      </w:pPr>
    </w:p>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【た行】</w:t>
      </w:r>
    </w:p>
    <w:p>
      <w:pPr>
        <w:pStyle w:val="0"/>
        <w:numPr>
          <w:ilvl w:val="0"/>
          <w:numId w:val="134"/>
        </w:numPr>
        <w:jc w:val="left"/>
        <w:rPr>
          <w:rFonts w:hint="eastAsia"/>
        </w:rPr>
      </w:pPr>
      <w:r>
        <w:rPr>
          <w:rFonts w:hint="eastAsia" w:ascii="ＭＳ ゴシック" w:hAnsi="ＭＳ ゴシック" w:eastAsia="ＭＳ ゴシック"/>
        </w:rPr>
        <w:t>短期入所（ショートステイ）</w:t>
      </w:r>
      <w:r>
        <w:rPr>
          <w:rFonts w:hint="default" w:ascii="ＭＳ ゴシック" w:hAnsi="ＭＳ ゴシック" w:eastAsia="ＭＳ ゴシック"/>
        </w:rPr>
        <w:br w:type="textWrapping" w:clear="none"/>
      </w:r>
      <w:r>
        <w:rPr>
          <w:rFonts w:hint="eastAsia"/>
        </w:rPr>
        <w:t>障害のある人の介護を行う人が病気その他の理由により居宅での介護を行うことができない場合に、障害のある人を短期間、施設等で預かり、入浴、排せつ、食事などを提供するサービス。</w:t>
      </w:r>
    </w:p>
    <w:p>
      <w:pPr>
        <w:pStyle w:val="0"/>
        <w:numPr>
          <w:ilvl w:val="0"/>
          <w:numId w:val="134"/>
        </w:numPr>
        <w:jc w:val="left"/>
        <w:rPr>
          <w:rFonts w:hint="eastAsia"/>
        </w:rPr>
      </w:pPr>
      <w:r>
        <w:rPr>
          <w:rFonts w:hint="eastAsia" w:ascii="ＭＳ ゴシック" w:hAnsi="ＭＳ ゴシック" w:eastAsia="ＭＳ ゴシック"/>
        </w:rPr>
        <w:t>地域生活支援拠点</w:t>
      </w:r>
      <w:r>
        <w:rPr>
          <w:rFonts w:hint="default" w:ascii="ＭＳ ゴシック" w:hAnsi="ＭＳ ゴシック" w:eastAsia="ＭＳ ゴシック"/>
        </w:rPr>
        <w:br w:type="textWrapping" w:clear="none"/>
      </w:r>
      <w:r>
        <w:rPr>
          <w:rFonts w:hint="eastAsia"/>
        </w:rPr>
        <w:t>障害のある人の重度化・高齢化や「親亡き後」に備えるとともに、重度障害にも対応できる専門性を有し、障害のある人やその家族の緊急時の対応を図るための拠点として、市町が設置する。</w:t>
      </w:r>
    </w:p>
    <w:p>
      <w:pPr>
        <w:pStyle w:val="0"/>
        <w:numPr>
          <w:ilvl w:val="0"/>
          <w:numId w:val="134"/>
        </w:numPr>
        <w:jc w:val="left"/>
        <w:rPr>
          <w:rFonts w:hint="eastAsia"/>
        </w:rPr>
      </w:pPr>
      <w:r>
        <w:rPr>
          <w:rFonts w:hint="eastAsia" w:ascii="ＭＳ ゴシック" w:hAnsi="ＭＳ ゴシック" w:eastAsia="ＭＳ ゴシック"/>
        </w:rPr>
        <w:t>地域福祉計画</w:t>
      </w:r>
      <w:r>
        <w:rPr>
          <w:rFonts w:hint="default" w:ascii="ＭＳ ゴシック" w:hAnsi="ＭＳ ゴシック" w:eastAsia="ＭＳ ゴシック"/>
        </w:rPr>
        <w:br w:type="textWrapping" w:clear="none"/>
      </w:r>
      <w:r>
        <w:rPr>
          <w:rFonts w:hint="eastAsia"/>
          <w:color w:val="auto"/>
          <w:highlight w:val="none"/>
        </w:rPr>
        <w:t>社会福祉法の規定により、市町村は地域福祉の推進に関する事項を一体的に定める計画として市町村地域福祉計画を策定する。地域福祉計画は、地域福祉を推進する主体である住民等の参加を得て、地域の生活課題を発見し、行政と住民等の協働により解決することを目指す計画。地域における高齢者、障害のある人、児童、その他の福祉に関して共通して取り組むべき事項や包括的な支援体制の整備に関する事項等を定める。</w:t>
      </w:r>
    </w:p>
    <w:p>
      <w:pPr>
        <w:pStyle w:val="0"/>
        <w:numPr>
          <w:ilvl w:val="0"/>
          <w:numId w:val="134"/>
        </w:numPr>
        <w:jc w:val="left"/>
        <w:rPr>
          <w:rFonts w:hint="eastAsia"/>
        </w:rPr>
      </w:pPr>
      <w:r>
        <w:rPr>
          <w:rFonts w:hint="eastAsia" w:ascii="ＭＳ ゴシック" w:hAnsi="ＭＳ ゴシック" w:eastAsia="ＭＳ ゴシック"/>
        </w:rPr>
        <w:t>地域福祉コーディネーター（コミュニティソーシャルワーカー）</w:t>
      </w:r>
    </w:p>
    <w:p>
      <w:pPr>
        <w:pStyle w:val="0"/>
        <w:numPr>
          <w:numId w:val="0"/>
        </w:numPr>
        <w:ind w:left="576" w:leftChars="0" w:firstLine="0" w:firstLineChars="0"/>
        <w:jc w:val="left"/>
        <w:rPr>
          <w:rFonts w:hint="eastAsia"/>
        </w:rPr>
      </w:pPr>
      <w:r>
        <w:rPr>
          <w:rFonts w:hint="eastAsia"/>
        </w:rPr>
        <w:t>小・中学校区単位等の小地域福祉活動の担い手として、地域において個人・家庭の個別支援や地域支援を行う人材で、県社会福祉協議会が行う養成研修を修了した者。</w:t>
      </w:r>
    </w:p>
    <w:p>
      <w:pPr>
        <w:pStyle w:val="0"/>
        <w:numPr>
          <w:ilvl w:val="0"/>
          <w:numId w:val="134"/>
        </w:numPr>
        <w:jc w:val="left"/>
        <w:rPr>
          <w:rFonts w:hint="eastAsia"/>
        </w:rPr>
      </w:pPr>
      <w:r>
        <w:rPr>
          <w:rFonts w:hint="eastAsia" w:ascii="ＭＳ ゴシック" w:hAnsi="ＭＳ ゴシック" w:eastAsia="ＭＳ ゴシック"/>
        </w:rPr>
        <w:t>地域包括支援センター</w:t>
      </w:r>
      <w:r>
        <w:rPr>
          <w:rFonts w:hint="default" w:ascii="ＭＳ ゴシック" w:hAnsi="ＭＳ ゴシック" w:eastAsia="ＭＳ ゴシック"/>
        </w:rPr>
        <w:br w:type="textWrapping" w:clear="none"/>
      </w:r>
      <w:r>
        <w:rPr>
          <w:rFonts w:hint="eastAsia"/>
        </w:rPr>
        <w:t>地域の高齢者のこころと身体の健康の維持、保健・福祉・医療の向上、生活の安定のために必要な援助を包括的に行うことを目的として市町が設置する中核機関。介護予防ケアマネジメント、総合相談・支援、権利擁護事業、包括的・継続的ケアマネジメントを担う。</w:t>
      </w:r>
    </w:p>
    <w:p>
      <w:pPr>
        <w:pStyle w:val="0"/>
        <w:numPr>
          <w:ilvl w:val="0"/>
          <w:numId w:val="134"/>
        </w:numPr>
        <w:jc w:val="left"/>
        <w:rPr>
          <w:rFonts w:hint="eastAsia"/>
        </w:rPr>
      </w:pPr>
      <w:r>
        <w:rPr>
          <w:rFonts w:hint="eastAsia" w:ascii="ＭＳ ゴシック" w:hAnsi="ＭＳ ゴシック" w:eastAsia="ＭＳ ゴシック"/>
        </w:rPr>
        <w:t>地域リハビリテーション</w:t>
      </w:r>
      <w:r>
        <w:rPr>
          <w:rFonts w:hint="default" w:ascii="ＭＳ ゴシック" w:hAnsi="ＭＳ ゴシック" w:eastAsia="ＭＳ ゴシック"/>
        </w:rPr>
        <w:br w:type="textWrapping" w:clear="none"/>
      </w:r>
      <w:r>
        <w:rPr>
          <w:rFonts w:hint="eastAsia"/>
        </w:rPr>
        <w:t>障害のある人や高齢者とその家族が、住み慣れたところで、その人らしくいきいきとした生活ができるように、保健・医療・福祉・介護及び地域住民を含めた生活にかかわるあらゆる人々や機関・組織がリハビリテーションの立場から協力し合って行う活動のすべてをいう。</w:t>
      </w:r>
    </w:p>
    <w:p>
      <w:pPr>
        <w:pStyle w:val="0"/>
        <w:numPr>
          <w:ilvl w:val="0"/>
          <w:numId w:val="134"/>
        </w:numPr>
        <w:jc w:val="left"/>
        <w:rPr>
          <w:rFonts w:hint="eastAsia"/>
        </w:rPr>
      </w:pPr>
      <w:r>
        <w:rPr>
          <w:rFonts w:hint="eastAsia" w:ascii="ＭＳ ゴシック" w:hAnsi="ＭＳ ゴシック" w:eastAsia="ＭＳ ゴシック"/>
        </w:rPr>
        <w:t>地域リハビリテーションサポート医</w:t>
      </w:r>
    </w:p>
    <w:p>
      <w:pPr>
        <w:pStyle w:val="0"/>
        <w:numPr>
          <w:numId w:val="0"/>
        </w:numPr>
        <w:ind w:left="576" w:leftChars="0" w:firstLine="0" w:firstLineChars="0"/>
        <w:jc w:val="left"/>
        <w:rPr>
          <w:rFonts w:hint="eastAsia"/>
        </w:rPr>
      </w:pPr>
      <w:r>
        <w:rPr>
          <w:rFonts w:hint="eastAsia"/>
        </w:rPr>
        <w:t>リハビリテーションに関するかかりつけ医や介護専門職への支援、多職種の連携づくりの推進役となる医師</w:t>
      </w:r>
    </w:p>
    <w:p>
      <w:pPr>
        <w:pStyle w:val="0"/>
        <w:numPr>
          <w:ilvl w:val="0"/>
          <w:numId w:val="134"/>
        </w:numPr>
        <w:jc w:val="left"/>
        <w:rPr>
          <w:rFonts w:hint="eastAsia" w:ascii="ＭＳ ゴシック" w:hAnsi="ＭＳ ゴシック" w:eastAsia="ＭＳ ゴシック"/>
        </w:rPr>
      </w:pPr>
      <w:r>
        <w:rPr>
          <w:rFonts w:hint="eastAsia" w:ascii="ＭＳ ゴシック" w:hAnsi="ＭＳ ゴシック" w:eastAsia="ＭＳ ゴシック"/>
        </w:rPr>
        <w:t>地域リハビリテーション推進員</w:t>
      </w:r>
    </w:p>
    <w:p>
      <w:pPr>
        <w:pStyle w:val="0"/>
        <w:numPr>
          <w:numId w:val="0"/>
        </w:numPr>
        <w:ind w:left="576" w:leftChars="0" w:firstLine="0" w:firstLineChars="0"/>
        <w:jc w:val="left"/>
        <w:rPr>
          <w:rFonts w:hint="eastAsia"/>
        </w:rPr>
      </w:pPr>
      <w:r>
        <w:rPr>
          <w:rFonts w:hint="eastAsia"/>
        </w:rPr>
        <w:t>市町等が実施する介護予防事業などに対して、リハビリテーションの視点から助言するリハビリテーション専門職（理学療法士</w:t>
      </w:r>
      <w:r>
        <w:rPr>
          <w:rFonts w:hint="eastAsia"/>
        </w:rPr>
        <w:t>(PT)</w:t>
      </w:r>
      <w:r>
        <w:rPr>
          <w:rFonts w:hint="eastAsia"/>
        </w:rPr>
        <w:t>、作業療法士</w:t>
      </w:r>
      <w:r>
        <w:rPr>
          <w:rFonts w:hint="eastAsia"/>
        </w:rPr>
        <w:t>(OT)</w:t>
      </w:r>
      <w:r>
        <w:rPr>
          <w:rFonts w:hint="eastAsia"/>
        </w:rPr>
        <w:t>、言語聴覚士</w:t>
      </w:r>
      <w:r>
        <w:rPr>
          <w:rFonts w:hint="eastAsia"/>
        </w:rPr>
        <w:t>(ST)</w:t>
      </w:r>
      <w:r>
        <w:rPr>
          <w:rFonts w:hint="eastAsia"/>
        </w:rPr>
        <w:t>）</w:t>
      </w:r>
    </w:p>
    <w:p>
      <w:pPr>
        <w:pStyle w:val="0"/>
        <w:numPr>
          <w:ilvl w:val="0"/>
          <w:numId w:val="134"/>
        </w:numPr>
        <w:jc w:val="left"/>
        <w:rPr>
          <w:rFonts w:hint="eastAsia"/>
        </w:rPr>
      </w:pPr>
      <w:r>
        <w:rPr>
          <w:rFonts w:hint="eastAsia" w:ascii="ＭＳ ゴシック" w:hAnsi="ＭＳ ゴシック" w:eastAsia="ＭＳ ゴシック"/>
        </w:rPr>
        <w:t>知的障害者更生相談所</w:t>
      </w:r>
    </w:p>
    <w:p>
      <w:pPr>
        <w:pStyle w:val="0"/>
        <w:numPr>
          <w:numId w:val="0"/>
        </w:numPr>
        <w:ind w:left="576" w:leftChars="0" w:firstLine="0" w:firstLineChars="0"/>
        <w:jc w:val="left"/>
        <w:rPr>
          <w:rFonts w:hint="eastAsia"/>
        </w:rPr>
      </w:pPr>
      <w:r>
        <w:rPr>
          <w:rFonts w:hint="eastAsia"/>
        </w:rPr>
        <w:t>知的障害のある人の医学的・心理的及び職能的判定を行うとともに、家庭その他からの相談業務を行う機関。</w:t>
      </w:r>
    </w:p>
    <w:p>
      <w:pPr>
        <w:pStyle w:val="0"/>
        <w:numPr>
          <w:ilvl w:val="0"/>
          <w:numId w:val="134"/>
        </w:numPr>
        <w:jc w:val="left"/>
        <w:rPr>
          <w:rFonts w:hint="eastAsia"/>
        </w:rPr>
      </w:pPr>
      <w:r>
        <w:rPr>
          <w:rFonts w:hint="eastAsia" w:ascii="ＭＳ ゴシック" w:hAnsi="ＭＳ ゴシック" w:eastAsia="ＭＳ ゴシック"/>
        </w:rPr>
        <w:t>知的障害者相談員</w:t>
      </w:r>
      <w:r>
        <w:rPr>
          <w:rFonts w:hint="default" w:ascii="ＭＳ ゴシック" w:hAnsi="ＭＳ ゴシック" w:eastAsia="ＭＳ ゴシック"/>
        </w:rPr>
        <w:br w:type="textWrapping" w:clear="none"/>
      </w:r>
      <w:r>
        <w:rPr>
          <w:rFonts w:hint="eastAsia"/>
        </w:rPr>
        <w:t>知的障害のある人並びにその家族に対する相談業務、関係機関との連絡及び</w:t>
      </w:r>
      <w:r>
        <w:rPr>
          <w:rFonts w:hint="eastAsia"/>
          <w:color w:val="auto"/>
          <w:highlight w:val="none"/>
        </w:rPr>
        <w:t>知的障害者援護思想</w:t>
      </w:r>
      <w:r>
        <w:rPr>
          <w:rFonts w:hint="eastAsia"/>
        </w:rPr>
        <w:t>の普及を行う相談員。</w:t>
      </w:r>
    </w:p>
    <w:p>
      <w:pPr>
        <w:pStyle w:val="0"/>
        <w:numPr>
          <w:ilvl w:val="0"/>
          <w:numId w:val="134"/>
        </w:numPr>
        <w:jc w:val="left"/>
        <w:rPr>
          <w:rFonts w:hint="eastAsia"/>
        </w:rPr>
      </w:pPr>
      <w:r>
        <w:rPr>
          <w:rFonts w:hint="eastAsia" w:ascii="ＭＳ ゴシック" w:hAnsi="ＭＳ ゴシック" w:eastAsia="ＭＳ ゴシック"/>
        </w:rPr>
        <w:t>注意欠陥／多動性障害（</w:t>
      </w:r>
      <w:r>
        <w:rPr>
          <w:rFonts w:hint="eastAsia" w:ascii="ＭＳ ゴシック" w:hAnsi="ＭＳ ゴシック" w:eastAsia="ＭＳ ゴシック"/>
        </w:rPr>
        <w:t>AD</w:t>
      </w:r>
      <w:r>
        <w:rPr>
          <w:rFonts w:hint="eastAsia" w:ascii="ＭＳ ゴシック" w:hAnsi="ＭＳ ゴシック" w:eastAsia="ＭＳ ゴシック"/>
        </w:rPr>
        <w:t>／</w:t>
      </w:r>
      <w:r>
        <w:rPr>
          <w:rFonts w:hint="eastAsia" w:ascii="ＭＳ ゴシック" w:hAnsi="ＭＳ ゴシック" w:eastAsia="ＭＳ ゴシック"/>
        </w:rPr>
        <w:t>HD</w:t>
      </w:r>
      <w:r>
        <w:rPr>
          <w:rFonts w:hint="eastAsia" w:ascii="ＭＳ ゴシック" w:hAnsi="ＭＳ ゴシック" w:eastAsia="ＭＳ ゴシック"/>
        </w:rPr>
        <w:t>＝</w:t>
      </w:r>
      <w:r>
        <w:rPr>
          <w:rFonts w:hint="eastAsia" w:ascii="ＭＳ ゴシック" w:hAnsi="ＭＳ ゴシック" w:eastAsia="ＭＳ ゴシック"/>
        </w:rPr>
        <w:t>AttentionDeficit</w:t>
      </w:r>
      <w:r>
        <w:rPr>
          <w:rFonts w:hint="eastAsia" w:ascii="ＭＳ ゴシック" w:hAnsi="ＭＳ ゴシック" w:eastAsia="ＭＳ ゴシック"/>
        </w:rPr>
        <w:t>／</w:t>
      </w:r>
      <w:r>
        <w:rPr>
          <w:rFonts w:hint="eastAsia" w:ascii="ＭＳ ゴシック" w:hAnsi="ＭＳ ゴシック" w:eastAsia="ＭＳ ゴシック"/>
        </w:rPr>
        <w:t>HyperactivityDisorder</w:t>
      </w:r>
      <w:r>
        <w:rPr>
          <w:rFonts w:hint="eastAsia" w:ascii="ＭＳ ゴシック" w:hAnsi="ＭＳ ゴシック" w:eastAsia="ＭＳ ゴシック"/>
        </w:rPr>
        <w:t>）</w:t>
      </w:r>
      <w:r>
        <w:rPr>
          <w:rFonts w:hint="default" w:ascii="ＭＳ ゴシック" w:hAnsi="ＭＳ ゴシック" w:eastAsia="ＭＳ ゴシック"/>
        </w:rPr>
        <w:br w:type="textWrapping" w:clear="none"/>
      </w:r>
      <w:r>
        <w:rPr>
          <w:rFonts w:hint="eastAsia"/>
        </w:rPr>
        <w:t>「不注意」と「多動・衝動性」を主な特徴とする発達障害の概念のひとつ</w:t>
      </w:r>
    </w:p>
    <w:p>
      <w:pPr>
        <w:pStyle w:val="0"/>
        <w:numPr>
          <w:ilvl w:val="0"/>
          <w:numId w:val="134"/>
        </w:numPr>
        <w:jc w:val="left"/>
        <w:rPr>
          <w:rFonts w:hint="eastAsia"/>
        </w:rPr>
      </w:pPr>
      <w:r>
        <w:rPr>
          <w:rFonts w:hint="eastAsia" w:ascii="ＭＳ ゴシック" w:hAnsi="ＭＳ ゴシック" w:eastAsia="ＭＳ ゴシック"/>
        </w:rPr>
        <w:t>超低床バス（ノンステップバス）</w:t>
      </w:r>
      <w:r>
        <w:rPr>
          <w:rFonts w:hint="default" w:ascii="ＭＳ ゴシック" w:hAnsi="ＭＳ ゴシック" w:eastAsia="ＭＳ ゴシック"/>
        </w:rPr>
        <w:br w:type="textWrapping" w:clear="none"/>
      </w:r>
      <w:r>
        <w:rPr>
          <w:rFonts w:hint="eastAsia"/>
        </w:rPr>
        <w:t>乗降口の段差をなくし、通常のバスよりも床面の地上高を低くし、車いす使用者をはじめ、誰もが乗り降りしやすいバス。</w:t>
      </w:r>
    </w:p>
    <w:p>
      <w:pPr>
        <w:pStyle w:val="0"/>
        <w:numPr>
          <w:ilvl w:val="0"/>
          <w:numId w:val="134"/>
        </w:numPr>
        <w:jc w:val="left"/>
        <w:rPr>
          <w:rFonts w:hint="eastAsia"/>
        </w:rPr>
      </w:pPr>
      <w:r>
        <w:rPr>
          <w:rFonts w:hint="eastAsia" w:ascii="ＭＳ ゴシック" w:hAnsi="ＭＳ ゴシック" w:eastAsia="ＭＳ ゴシック"/>
        </w:rPr>
        <w:t>聴導犬</w:t>
      </w:r>
      <w:r>
        <w:rPr>
          <w:rFonts w:hint="default" w:ascii="ＭＳ ゴシック" w:hAnsi="ＭＳ ゴシック" w:eastAsia="ＭＳ ゴシック"/>
        </w:rPr>
        <w:br w:type="textWrapping" w:clear="none"/>
      </w:r>
      <w:r>
        <w:rPr>
          <w:rFonts w:hint="eastAsia"/>
        </w:rPr>
        <w:t>聴覚に障害がある人の耳の代わりとなり、電話の呼出音やその人を呼ぶ声、車のクラクションなど危険を意味する音などを聞き分け、必要な情報を伝えたり、音源へ誘導したりするために特別な訓練を受けた犬。</w:t>
      </w:r>
    </w:p>
    <w:p>
      <w:pPr>
        <w:pStyle w:val="0"/>
        <w:numPr>
          <w:ilvl w:val="0"/>
          <w:numId w:val="134"/>
        </w:numPr>
        <w:jc w:val="left"/>
        <w:rPr>
          <w:rFonts w:hint="eastAsia"/>
        </w:rPr>
      </w:pPr>
      <w:r>
        <w:rPr>
          <w:rFonts w:hint="eastAsia" w:ascii="ＭＳ ゴシック" w:hAnsi="ＭＳ ゴシック" w:eastAsia="ＭＳ ゴシック"/>
        </w:rPr>
        <w:t>通級指導教室</w:t>
      </w:r>
      <w:r>
        <w:rPr>
          <w:rFonts w:hint="default" w:ascii="ＭＳ ゴシック" w:hAnsi="ＭＳ ゴシック" w:eastAsia="ＭＳ ゴシック"/>
        </w:rPr>
        <w:br w:type="textWrapping" w:clear="none"/>
      </w:r>
      <w:r>
        <w:rPr>
          <w:rFonts w:hint="eastAsia"/>
        </w:rPr>
        <w:t>小・中学校等の通常の学級に在籍し、特別な教育課程での教育を必要とする子どもたちに対して教育を行う教室。</w:t>
      </w:r>
    </w:p>
    <w:p>
      <w:pPr>
        <w:pStyle w:val="0"/>
        <w:numPr>
          <w:ilvl w:val="0"/>
          <w:numId w:val="134"/>
        </w:numPr>
        <w:jc w:val="left"/>
        <w:rPr>
          <w:rFonts w:hint="eastAsia"/>
        </w:rPr>
      </w:pPr>
      <w:r>
        <w:rPr>
          <w:rFonts w:hint="eastAsia" w:ascii="ＭＳ ゴシック" w:hAnsi="ＭＳ ゴシック" w:eastAsia="ＭＳ ゴシック"/>
        </w:rPr>
        <w:t>同行援護従業者</w:t>
      </w:r>
    </w:p>
    <w:p>
      <w:pPr>
        <w:pStyle w:val="0"/>
        <w:numPr>
          <w:numId w:val="0"/>
        </w:numPr>
        <w:ind w:left="576" w:leftChars="0" w:firstLine="0" w:firstLineChars="0"/>
        <w:jc w:val="left"/>
        <w:rPr>
          <w:rFonts w:hint="eastAsia"/>
        </w:rPr>
      </w:pPr>
      <w:r>
        <w:rPr>
          <w:rFonts w:hint="eastAsia"/>
        </w:rPr>
        <w:t>視覚障害により、移動に著しい困難を有する障害のある人等に対して、外出時に同行し、移動に必要な情報を提供するとともに、移動の援護その他の外出する際の必要な援助を行う者。</w:t>
      </w:r>
    </w:p>
    <w:p>
      <w:pPr>
        <w:pStyle w:val="0"/>
        <w:numPr>
          <w:ilvl w:val="0"/>
          <w:numId w:val="134"/>
        </w:numPr>
        <w:jc w:val="left"/>
        <w:rPr>
          <w:rFonts w:hint="eastAsia"/>
        </w:rPr>
      </w:pPr>
      <w:r>
        <w:rPr>
          <w:rFonts w:hint="eastAsia" w:ascii="ＭＳ ゴシック" w:hAnsi="ＭＳ ゴシック" w:eastAsia="ＭＳ ゴシック"/>
        </w:rPr>
        <w:t>特別支援学校</w:t>
      </w:r>
      <w:r>
        <w:rPr>
          <w:rFonts w:hint="default" w:ascii="ＭＳ ゴシック" w:hAnsi="ＭＳ ゴシック" w:eastAsia="ＭＳ ゴシック"/>
        </w:rPr>
        <w:br w:type="textWrapping" w:clear="none"/>
      </w:r>
      <w:r>
        <w:rPr>
          <w:rFonts w:hint="eastAsia"/>
        </w:rPr>
        <w:t>障害があるために、教育上の配慮を必要とする幼児児童生徒それぞれに応じた教育課程を編成し、専門的できめ細かな指導を行う学校。</w:t>
      </w:r>
    </w:p>
    <w:p>
      <w:pPr>
        <w:pStyle w:val="0"/>
        <w:numPr>
          <w:ilvl w:val="0"/>
          <w:numId w:val="134"/>
        </w:numPr>
        <w:jc w:val="left"/>
        <w:rPr>
          <w:rFonts w:hint="eastAsia"/>
        </w:rPr>
      </w:pPr>
      <w:r>
        <w:rPr>
          <w:rFonts w:hint="eastAsia" w:ascii="ＭＳ ゴシック" w:hAnsi="ＭＳ ゴシック" w:eastAsia="ＭＳ ゴシック"/>
        </w:rPr>
        <w:t>特別支援教育コーディネーター</w:t>
      </w:r>
    </w:p>
    <w:p>
      <w:pPr>
        <w:pStyle w:val="0"/>
        <w:numPr>
          <w:numId w:val="0"/>
        </w:numPr>
        <w:ind w:left="576" w:leftChars="0" w:firstLine="0" w:firstLineChars="0"/>
        <w:jc w:val="left"/>
        <w:rPr>
          <w:rFonts w:hint="eastAsia"/>
        </w:rPr>
      </w:pPr>
      <w:r>
        <w:rPr>
          <w:rFonts w:hint="eastAsia"/>
        </w:rPr>
        <w:t>各学校における特別支援教育の推進のため、主に、校内委員会・校内研修の企画・運営、関係諸機関・学校との連絡・調整、保護者からの相談窓口などの役割を担う者。</w:t>
      </w:r>
    </w:p>
    <w:p>
      <w:pPr>
        <w:pStyle w:val="0"/>
        <w:jc w:val="center"/>
        <w:rPr>
          <w:rFonts w:hint="eastAsia" w:ascii="ＭＳ ゴシック" w:hAnsi="ＭＳ ゴシック" w:eastAsia="ＭＳ ゴシック"/>
          <w:sz w:val="26"/>
        </w:rPr>
      </w:pPr>
    </w:p>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【な行】</w:t>
      </w:r>
    </w:p>
    <w:p>
      <w:pPr>
        <w:pStyle w:val="0"/>
        <w:numPr>
          <w:ilvl w:val="0"/>
          <w:numId w:val="134"/>
        </w:numPr>
        <w:jc w:val="left"/>
        <w:rPr>
          <w:rFonts w:hint="eastAsia"/>
        </w:rPr>
      </w:pPr>
      <w:r>
        <w:rPr>
          <w:rFonts w:hint="eastAsia" w:ascii="ＭＳ ゴシック" w:hAnsi="ＭＳ ゴシック" w:eastAsia="ＭＳ ゴシック"/>
        </w:rPr>
        <w:t>難病相談支援センター</w:t>
      </w:r>
      <w:r>
        <w:rPr>
          <w:rFonts w:hint="default" w:ascii="ＭＳ ゴシック" w:hAnsi="ＭＳ ゴシック" w:eastAsia="ＭＳ ゴシック"/>
        </w:rPr>
        <w:br w:type="textWrapping" w:clear="none"/>
      </w:r>
      <w:r>
        <w:rPr>
          <w:rFonts w:hint="eastAsia"/>
        </w:rPr>
        <w:t>地域における難病患者の支援を一層推進するために、地域で生活する難病患者や家族の日常生活における相談や支援、地域交流活動の促進及び就労促進などを行っている機関。</w:t>
      </w:r>
    </w:p>
    <w:p>
      <w:pPr>
        <w:pStyle w:val="0"/>
        <w:numPr>
          <w:ilvl w:val="0"/>
          <w:numId w:val="134"/>
        </w:numPr>
        <w:jc w:val="left"/>
        <w:rPr>
          <w:rFonts w:hint="eastAsia"/>
        </w:rPr>
      </w:pPr>
      <w:r>
        <w:rPr>
          <w:rFonts w:hint="eastAsia" w:ascii="ＭＳ ゴシック" w:hAnsi="ＭＳ ゴシック" w:eastAsia="ＭＳ ゴシック"/>
        </w:rPr>
        <w:t>日常生活自立支援事業</w:t>
      </w:r>
      <w:r>
        <w:rPr>
          <w:rFonts w:hint="default" w:ascii="ＭＳ ゴシック" w:hAnsi="ＭＳ ゴシック" w:eastAsia="ＭＳ ゴシック"/>
        </w:rPr>
        <w:br w:type="textWrapping" w:clear="none"/>
      </w:r>
      <w:r>
        <w:rPr>
          <w:rFonts w:hint="eastAsia"/>
        </w:rPr>
        <w:t>認知症、知的障害、精神障害等があるために判断能力が不十分な人に対して、自立した地域生活が送れるように利用者との契約に基づいて生活支援員を派遣し、福祉サービスの利用援助、日常的な金銭管理などを行う事業。実施主体である県社会福祉協議会からの委託により市町社会福祉協議会が生活支援員の派遣等を行う。</w:t>
      </w:r>
    </w:p>
    <w:p>
      <w:pPr>
        <w:pStyle w:val="0"/>
        <w:numPr>
          <w:ilvl w:val="0"/>
          <w:numId w:val="134"/>
        </w:numPr>
        <w:jc w:val="left"/>
        <w:rPr>
          <w:rFonts w:hint="eastAsia"/>
        </w:rPr>
      </w:pPr>
      <w:r>
        <w:rPr>
          <w:rFonts w:hint="eastAsia" w:ascii="ＭＳ ゴシック" w:hAnsi="ＭＳ ゴシック" w:eastAsia="ＭＳ ゴシック"/>
        </w:rPr>
        <w:t>日常生活用具</w:t>
      </w:r>
      <w:r>
        <w:rPr>
          <w:rFonts w:hint="default" w:ascii="ＭＳ ゴシック" w:hAnsi="ＭＳ ゴシック" w:eastAsia="ＭＳ ゴシック"/>
        </w:rPr>
        <w:br w:type="textWrapping" w:clear="none"/>
      </w:r>
      <w:r>
        <w:rPr>
          <w:rFonts w:hint="eastAsia"/>
        </w:rPr>
        <w:t>障害のある人等が、日常生活を円滑に過ごすために必要な用具。市町地域生活支援事業の必須事業の１つで、対象者、対象品目、利用者負担等は各市町において決定される。</w:t>
      </w:r>
    </w:p>
    <w:p>
      <w:pPr>
        <w:pStyle w:val="0"/>
        <w:numPr>
          <w:ilvl w:val="0"/>
          <w:numId w:val="134"/>
        </w:numPr>
        <w:jc w:val="left"/>
        <w:rPr>
          <w:rFonts w:hint="eastAsia"/>
        </w:rPr>
      </w:pPr>
      <w:r>
        <w:rPr>
          <w:rFonts w:hint="eastAsia" w:ascii="ＭＳ ゴシック" w:hAnsi="ＭＳ ゴシック" w:eastAsia="ＭＳ ゴシック"/>
        </w:rPr>
        <w:t>日中一時支援</w:t>
      </w:r>
    </w:p>
    <w:p>
      <w:pPr>
        <w:pStyle w:val="0"/>
        <w:numPr>
          <w:numId w:val="0"/>
        </w:numPr>
        <w:ind w:left="576" w:leftChars="0" w:firstLine="0" w:firstLineChars="0"/>
        <w:jc w:val="left"/>
        <w:rPr>
          <w:rFonts w:hint="eastAsia"/>
        </w:rPr>
      </w:pPr>
      <w:r>
        <w:rPr>
          <w:rFonts w:hint="eastAsia"/>
        </w:rPr>
        <w:t>日中、障害福祉サービス事業所、障害者支援施設、学校の空き教室等において、障害のある人等に活動の場を提供し、見守り、社会に適応するための日常的な訓練その他市町村が認めた支援。</w:t>
      </w:r>
    </w:p>
    <w:p>
      <w:pPr>
        <w:pStyle w:val="0"/>
        <w:numPr>
          <w:ilvl w:val="0"/>
          <w:numId w:val="134"/>
        </w:numPr>
        <w:jc w:val="left"/>
        <w:rPr>
          <w:rFonts w:hint="eastAsia" w:ascii="ＭＳ ゴシック" w:hAnsi="ＭＳ ゴシック" w:eastAsia="ＭＳ ゴシック"/>
        </w:rPr>
      </w:pPr>
      <w:r>
        <w:rPr>
          <w:rFonts w:hint="eastAsia" w:ascii="ＭＳ ゴシック" w:hAnsi="ＭＳ ゴシック" w:eastAsia="ＭＳ ゴシック"/>
        </w:rPr>
        <w:t>日中サービス支援型グループホーム</w:t>
      </w:r>
    </w:p>
    <w:p>
      <w:pPr>
        <w:pStyle w:val="0"/>
        <w:numPr>
          <w:numId w:val="0"/>
        </w:numPr>
        <w:ind w:left="576" w:leftChars="0" w:firstLine="0" w:firstLineChars="0"/>
        <w:jc w:val="left"/>
        <w:rPr>
          <w:rFonts w:hint="eastAsia"/>
        </w:rPr>
      </w:pPr>
      <w:r>
        <w:rPr>
          <w:rFonts w:hint="eastAsia"/>
        </w:rPr>
        <w:t>グループホームの</w:t>
      </w:r>
      <w:r>
        <w:rPr>
          <w:rFonts w:hint="eastAsia"/>
        </w:rPr>
        <w:t>3</w:t>
      </w:r>
      <w:r>
        <w:rPr>
          <w:rFonts w:hint="eastAsia"/>
        </w:rPr>
        <w:t>種類（介護サービス包括型、日中サービス支援型、外部サービス利用型）の類型の一つ。昼夜を通じて</w:t>
      </w:r>
      <w:r>
        <w:rPr>
          <w:rFonts w:hint="eastAsia"/>
        </w:rPr>
        <w:t>1</w:t>
      </w:r>
      <w:r>
        <w:rPr>
          <w:rFonts w:hint="eastAsia"/>
        </w:rPr>
        <w:t>人以上の職員を配置し、共同生活を営むべき住居における相談、入浴、排泄又は食事の介護その他の日常生活上の援助を実施。</w:t>
      </w:r>
    </w:p>
    <w:p>
      <w:pPr>
        <w:pStyle w:val="0"/>
        <w:numPr>
          <w:ilvl w:val="0"/>
          <w:numId w:val="134"/>
        </w:numPr>
        <w:jc w:val="left"/>
        <w:rPr>
          <w:rFonts w:hint="eastAsia"/>
        </w:rPr>
      </w:pPr>
      <w:r>
        <w:rPr>
          <w:rFonts w:hint="eastAsia" w:ascii="ＭＳ ゴシック" w:hAnsi="ＭＳ ゴシック" w:eastAsia="ＭＳ ゴシック"/>
        </w:rPr>
        <w:t>乳幼児健康診査</w:t>
      </w:r>
      <w:r>
        <w:rPr>
          <w:rFonts w:hint="default" w:ascii="ＭＳ ゴシック" w:hAnsi="ＭＳ ゴシック" w:eastAsia="ＭＳ ゴシック"/>
        </w:rPr>
        <w:br w:type="textWrapping" w:clear="none"/>
      </w:r>
      <w:r>
        <w:rPr>
          <w:rFonts w:hint="eastAsia"/>
        </w:rPr>
        <w:t>乳児及び幼児が発育栄養状態、精神・運動機能の発達、疾病または異常の有無などを確認する健康診査。保護者に対しては、適切な養育について助言、指導し、育児支援を行う。市町事業として行われている。</w:t>
      </w:r>
    </w:p>
    <w:p>
      <w:pPr>
        <w:pStyle w:val="0"/>
        <w:numPr>
          <w:ilvl w:val="0"/>
          <w:numId w:val="134"/>
        </w:numPr>
        <w:jc w:val="left"/>
        <w:rPr>
          <w:rFonts w:hint="eastAsia"/>
        </w:rPr>
      </w:pPr>
      <w:r>
        <w:rPr>
          <w:rFonts w:hint="eastAsia" w:ascii="ＭＳ ゴシック" w:hAnsi="ＭＳ ゴシック" w:eastAsia="ＭＳ ゴシック"/>
        </w:rPr>
        <w:t>農福連携ワンストップ窓口</w:t>
      </w:r>
    </w:p>
    <w:p>
      <w:pPr>
        <w:pStyle w:val="0"/>
        <w:numPr>
          <w:numId w:val="0"/>
        </w:numPr>
        <w:ind w:left="576" w:leftChars="0" w:firstLine="0" w:firstLineChars="0"/>
        <w:jc w:val="left"/>
        <w:rPr>
          <w:rFonts w:hint="eastAsia"/>
        </w:rPr>
      </w:pPr>
      <w:r>
        <w:rPr>
          <w:rFonts w:hint="eastAsia"/>
        </w:rPr>
        <w:t>農業者や障害福祉サービス事業所からの農福連携に関する相談への一元的な対応や農業者の求人・農作業等の情報、障害福祉サービス事業所の求職・労働力情報等を集約し、マッチングを支援する窓口として令和２年６月より障害者働く幸せ創出センター内に設置。</w:t>
      </w:r>
    </w:p>
    <w:p>
      <w:pPr>
        <w:pStyle w:val="0"/>
        <w:jc w:val="center"/>
        <w:rPr>
          <w:rFonts w:hint="eastAsia" w:ascii="ＭＳ ゴシック" w:hAnsi="ＭＳ ゴシック" w:eastAsia="ＭＳ ゴシック"/>
          <w:sz w:val="26"/>
        </w:rPr>
      </w:pPr>
    </w:p>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【は行】</w:t>
      </w:r>
    </w:p>
    <w:p>
      <w:pPr>
        <w:pStyle w:val="0"/>
        <w:numPr>
          <w:ilvl w:val="0"/>
          <w:numId w:val="134"/>
        </w:numPr>
        <w:jc w:val="left"/>
        <w:rPr>
          <w:rFonts w:hint="eastAsia"/>
        </w:rPr>
      </w:pPr>
      <w:r>
        <w:rPr>
          <w:rFonts w:hint="eastAsia" w:ascii="ＭＳ ゴシック" w:hAnsi="ＭＳ ゴシック" w:eastAsia="ＭＳ ゴシック"/>
        </w:rPr>
        <w:t>8050</w:t>
      </w:r>
      <w:r>
        <w:rPr>
          <w:rFonts w:hint="eastAsia" w:ascii="ＭＳ ゴシック" w:hAnsi="ＭＳ ゴシック" w:eastAsia="ＭＳ ゴシック"/>
        </w:rPr>
        <w:t>問題</w:t>
      </w:r>
    </w:p>
    <w:p>
      <w:pPr>
        <w:pStyle w:val="0"/>
        <w:numPr>
          <w:numId w:val="0"/>
        </w:numPr>
        <w:ind w:left="576" w:leftChars="0" w:firstLine="0" w:firstLineChars="0"/>
        <w:jc w:val="left"/>
        <w:rPr>
          <w:rFonts w:hint="eastAsia"/>
        </w:rPr>
      </w:pPr>
      <w:r>
        <w:rPr>
          <w:rFonts w:hint="eastAsia"/>
        </w:rPr>
        <w:t>高齢の親と働いていない独身の</w:t>
      </w:r>
      <w:r>
        <w:rPr>
          <w:rFonts w:hint="eastAsia"/>
        </w:rPr>
        <w:t>50</w:t>
      </w:r>
      <w:r>
        <w:rPr>
          <w:rFonts w:hint="eastAsia"/>
        </w:rPr>
        <w:t>代の子とが同居している世帯が社会的に孤立することにより様々な課題を抱える問題。ひきこもりの長期化や当事者とその家族等の高年齢化が進むことにより深刻な社会問題となっている。</w:t>
      </w:r>
    </w:p>
    <w:p>
      <w:pPr>
        <w:pStyle w:val="0"/>
        <w:numPr>
          <w:ilvl w:val="0"/>
          <w:numId w:val="134"/>
        </w:numPr>
        <w:jc w:val="left"/>
        <w:rPr>
          <w:rFonts w:hint="eastAsia"/>
        </w:rPr>
      </w:pPr>
      <w:r>
        <w:rPr>
          <w:rFonts w:hint="eastAsia" w:ascii="ＭＳ ゴシック" w:hAnsi="ＭＳ ゴシック" w:eastAsia="ＭＳ ゴシック"/>
        </w:rPr>
        <w:t>発達障害</w:t>
      </w:r>
      <w:r>
        <w:rPr>
          <w:rFonts w:hint="eastAsia" w:ascii="ＭＳ ゴシック" w:hAnsi="ＭＳ ゴシック" w:eastAsia="ＭＳ ゴシック"/>
        </w:rPr>
        <w:br w:type="textWrapping" w:clear="none"/>
      </w:r>
      <w:r>
        <w:rPr>
          <w:rFonts w:hint="eastAsia"/>
        </w:rPr>
        <w:t>発達障害者支援法に規定されている自閉症、アスペルガー症候群、その他の広汎性発達障害、学習障害（</w:t>
      </w:r>
      <w:r>
        <w:rPr>
          <w:rFonts w:hint="eastAsia"/>
        </w:rPr>
        <w:t>LD</w:t>
      </w:r>
      <w:r>
        <w:rPr>
          <w:rFonts w:hint="eastAsia"/>
        </w:rPr>
        <w:t>）</w:t>
      </w:r>
      <w:r>
        <w:rPr>
          <w:rFonts w:hint="eastAsia"/>
          <w:kern w:val="0"/>
          <w:vertAlign w:val="superscript"/>
        </w:rPr>
        <w:t>＊</w:t>
      </w:r>
      <w:r>
        <w:rPr>
          <w:rFonts w:hint="eastAsia"/>
        </w:rPr>
        <w:t>、注意欠陥／多動性障害（</w:t>
      </w:r>
      <w:r>
        <w:rPr>
          <w:rFonts w:hint="eastAsia"/>
        </w:rPr>
        <w:t>AD</w:t>
      </w:r>
      <w:r>
        <w:rPr>
          <w:rFonts w:hint="eastAsia"/>
        </w:rPr>
        <w:t>／</w:t>
      </w:r>
      <w:r>
        <w:rPr>
          <w:rFonts w:hint="eastAsia"/>
        </w:rPr>
        <w:t>HD</w:t>
      </w:r>
      <w:r>
        <w:rPr>
          <w:rFonts w:hint="eastAsia"/>
        </w:rPr>
        <w:t>）、その他これに類する脳機能の障害。自閉症、アスペルガー症候群、その他の広汎性発達障害については、自閉症スペクトラム障害ともいう。</w:t>
      </w:r>
    </w:p>
    <w:p>
      <w:pPr>
        <w:pStyle w:val="0"/>
        <w:numPr>
          <w:ilvl w:val="0"/>
          <w:numId w:val="134"/>
        </w:numPr>
        <w:jc w:val="left"/>
        <w:rPr>
          <w:rFonts w:hint="eastAsia"/>
        </w:rPr>
      </w:pPr>
      <w:r>
        <w:rPr>
          <w:rFonts w:hint="eastAsia" w:ascii="ＭＳ ゴシック" w:hAnsi="ＭＳ ゴシック" w:eastAsia="ＭＳ ゴシック"/>
        </w:rPr>
        <w:t>発達障害者支援センター</w:t>
      </w:r>
      <w:r>
        <w:rPr>
          <w:rFonts w:hint="default" w:ascii="ＭＳ ゴシック" w:hAnsi="ＭＳ ゴシック" w:eastAsia="ＭＳ ゴシック"/>
        </w:rPr>
        <w:br w:type="textWrapping" w:clear="none"/>
      </w:r>
      <w:r>
        <w:rPr>
          <w:rFonts w:hint="eastAsia"/>
        </w:rPr>
        <w:t>発達障害のある人の日常生活についての相談支援や発達支援、就労支援、普及啓発及び研修等を行う機関。</w:t>
      </w:r>
    </w:p>
    <w:p>
      <w:pPr>
        <w:pStyle w:val="0"/>
        <w:numPr>
          <w:ilvl w:val="0"/>
          <w:numId w:val="134"/>
        </w:numPr>
        <w:jc w:val="left"/>
        <w:rPr>
          <w:rFonts w:hint="eastAsia"/>
        </w:rPr>
      </w:pPr>
      <w:r>
        <w:rPr>
          <w:rFonts w:hint="eastAsia" w:ascii="ＭＳ ゴシック" w:hAnsi="ＭＳ ゴシック" w:eastAsia="ＭＳ ゴシック"/>
        </w:rPr>
        <w:t>バリアフリー対応型信号機</w:t>
      </w:r>
      <w:r>
        <w:rPr>
          <w:rFonts w:hint="default" w:ascii="ＭＳ ゴシック" w:hAnsi="ＭＳ ゴシック" w:eastAsia="ＭＳ ゴシック"/>
        </w:rPr>
        <w:br w:type="textWrapping" w:clear="none"/>
      </w:r>
      <w:r>
        <w:rPr>
          <w:rFonts w:hint="eastAsia"/>
        </w:rPr>
        <w:t>視覚障害者用付加装置、音響式歩行者誘導装置、経過時間表示装置、高齢者等感応化の機能を付加することにより、障害のある人や高齢者等の道路横断の安全を図る信号機。</w:t>
      </w:r>
    </w:p>
    <w:p>
      <w:pPr>
        <w:pStyle w:val="0"/>
        <w:numPr>
          <w:ilvl w:val="0"/>
          <w:numId w:val="134"/>
        </w:numPr>
        <w:jc w:val="left"/>
        <w:rPr>
          <w:rFonts w:hint="eastAsia"/>
        </w:rPr>
      </w:pPr>
      <w:r>
        <w:rPr>
          <w:rFonts w:hint="eastAsia" w:ascii="ＭＳ ゴシック" w:hAnsi="ＭＳ ゴシック" w:eastAsia="ＭＳ ゴシック"/>
        </w:rPr>
        <w:t>ひきこもり</w:t>
      </w:r>
      <w:r>
        <w:rPr>
          <w:rFonts w:hint="default" w:ascii="ＭＳ ゴシック" w:hAnsi="ＭＳ ゴシック" w:eastAsia="ＭＳ ゴシック"/>
        </w:rPr>
        <w:br w:type="textWrapping" w:clear="none"/>
      </w:r>
      <w:r>
        <w:rPr>
          <w:rFonts w:hint="eastAsia"/>
        </w:rPr>
        <w:t>様々な要因の結果として社会的参加を回避し、原則的には</w:t>
      </w:r>
      <w:r>
        <w:rPr>
          <w:rFonts w:hint="eastAsia"/>
        </w:rPr>
        <w:t>6</w:t>
      </w:r>
      <w:r>
        <w:rPr>
          <w:rFonts w:hint="eastAsia"/>
        </w:rPr>
        <w:t>か月以上にわたって概ね家庭にとどまり続いている状態（他者と交わらない形での外出も含む）。</w:t>
      </w:r>
    </w:p>
    <w:p>
      <w:pPr>
        <w:pStyle w:val="0"/>
        <w:numPr>
          <w:ilvl w:val="0"/>
          <w:numId w:val="134"/>
        </w:numPr>
        <w:jc w:val="left"/>
        <w:rPr>
          <w:rFonts w:hint="eastAsia"/>
        </w:rPr>
      </w:pPr>
      <w:r>
        <w:rPr>
          <w:rFonts w:hint="eastAsia" w:ascii="ＭＳ ゴシック" w:hAnsi="ＭＳ ゴシック" w:eastAsia="ＭＳ ゴシック"/>
        </w:rPr>
        <w:t>避難行動要支援者</w:t>
      </w:r>
      <w:r>
        <w:rPr>
          <w:rFonts w:hint="default" w:ascii="ＭＳ ゴシック" w:hAnsi="ＭＳ ゴシック" w:eastAsia="ＭＳ ゴシック"/>
        </w:rPr>
        <w:br w:type="textWrapping" w:clear="none"/>
      </w:r>
      <w:r>
        <w:rPr>
          <w:rFonts w:hint="eastAsia"/>
        </w:rPr>
        <w:t>要配慮者のうち、災害が発生し、又は災害が発生するおそれがある場合に自ら避難することが困難な方で、その円滑かつ迅速な避難の確保を図るために特に支援を要する方。</w:t>
      </w:r>
    </w:p>
    <w:p>
      <w:pPr>
        <w:pStyle w:val="0"/>
        <w:numPr>
          <w:ilvl w:val="0"/>
          <w:numId w:val="134"/>
        </w:numPr>
        <w:jc w:val="left"/>
        <w:rPr>
          <w:rFonts w:hint="eastAsia"/>
        </w:rPr>
      </w:pPr>
      <w:r>
        <w:rPr>
          <w:rFonts w:hint="eastAsia" w:ascii="ＭＳ ゴシック" w:hAnsi="ＭＳ ゴシック" w:eastAsia="ＭＳ ゴシック"/>
        </w:rPr>
        <w:t>福祉避難所</w:t>
      </w:r>
      <w:r>
        <w:rPr>
          <w:rFonts w:hint="default" w:ascii="ＭＳ ゴシック" w:hAnsi="ＭＳ ゴシック" w:eastAsia="ＭＳ ゴシック"/>
        </w:rPr>
        <w:br w:type="textWrapping" w:clear="none"/>
      </w:r>
      <w:r>
        <w:rPr>
          <w:rFonts w:hint="eastAsia"/>
        </w:rPr>
        <w:t>一般の避難所での避難生活が困難な要配慮者のため、バリアフリー対策が施され、福祉サービス等が受けられるように、市町が指定した避難施設。主には、社会福祉施設が指定されている。</w:t>
      </w:r>
    </w:p>
    <w:p>
      <w:pPr>
        <w:pStyle w:val="0"/>
        <w:numPr>
          <w:ilvl w:val="0"/>
          <w:numId w:val="134"/>
        </w:numPr>
        <w:jc w:val="left"/>
        <w:rPr>
          <w:rFonts w:hint="eastAsia"/>
        </w:rPr>
      </w:pPr>
      <w:r>
        <w:rPr>
          <w:rFonts w:hint="eastAsia" w:ascii="ＭＳ ゴシック" w:hAnsi="ＭＳ ゴシック" w:eastAsia="ＭＳ ゴシック"/>
        </w:rPr>
        <w:t>ふじのくに型福祉サービス</w:t>
      </w:r>
      <w:r>
        <w:rPr>
          <w:rFonts w:hint="default" w:ascii="ＭＳ ゴシック" w:hAnsi="ＭＳ ゴシック" w:eastAsia="ＭＳ ゴシック"/>
        </w:rPr>
        <w:br w:type="textWrapping" w:clear="none"/>
      </w:r>
      <w:r>
        <w:rPr>
          <w:rFonts w:hint="eastAsia"/>
        </w:rPr>
        <w:t>県内に数多くある高齢者の介護サービス基盤を活用し、高齢者に加え、障害のある人、子ども等に対しても、年齢や障害の有無に関わらず、垣根なく福祉サービスを提供することを目指す静岡県独自のサービス。</w:t>
      </w:r>
    </w:p>
    <w:p>
      <w:pPr>
        <w:pStyle w:val="0"/>
        <w:numPr>
          <w:ilvl w:val="0"/>
          <w:numId w:val="134"/>
        </w:numPr>
        <w:jc w:val="left"/>
        <w:rPr>
          <w:rFonts w:hint="eastAsia"/>
        </w:rPr>
      </w:pPr>
      <w:r>
        <w:rPr>
          <w:rFonts w:hint="eastAsia" w:ascii="ＭＳ ゴシック" w:hAnsi="ＭＳ ゴシック" w:eastAsia="ＭＳ ゴシック"/>
        </w:rPr>
        <w:t>ふじのくに福産品</w:t>
      </w:r>
    </w:p>
    <w:p>
      <w:pPr>
        <w:pStyle w:val="0"/>
        <w:numPr>
          <w:numId w:val="0"/>
        </w:numPr>
        <w:ind w:left="576" w:leftChars="0" w:firstLine="0" w:firstLineChars="0"/>
        <w:jc w:val="left"/>
        <w:rPr>
          <w:rFonts w:hint="eastAsia"/>
        </w:rPr>
      </w:pPr>
      <w:r>
        <w:rPr>
          <w:rFonts w:hint="eastAsia"/>
        </w:rPr>
        <w:t>障害者就労施設等で作られた授産品の愛称。静岡県では授産品をより身近に感じられ広く親しまれるよう、令和元年度に愛称を募集し、</w:t>
      </w:r>
      <w:r>
        <w:rPr>
          <w:rFonts w:hint="eastAsia"/>
        </w:rPr>
        <w:t>125</w:t>
      </w:r>
      <w:r>
        <w:rPr>
          <w:rFonts w:hint="eastAsia"/>
        </w:rPr>
        <w:t>点の応募の中から「ふじのくに福産品（ふじのくにふくさんぴん）」に決定。</w:t>
      </w:r>
    </w:p>
    <w:p>
      <w:pPr>
        <w:pStyle w:val="0"/>
        <w:numPr>
          <w:ilvl w:val="0"/>
          <w:numId w:val="134"/>
        </w:numPr>
        <w:jc w:val="left"/>
        <w:rPr>
          <w:rFonts w:hint="eastAsia"/>
          <w:strike w:val="0"/>
          <w:dstrike w:val="0"/>
          <w:highlight w:val="none"/>
        </w:rPr>
      </w:pPr>
      <w:r>
        <w:rPr>
          <w:rFonts w:hint="eastAsia" w:ascii="ＭＳ ゴシック" w:hAnsi="ＭＳ ゴシック" w:eastAsia="ＭＳ ゴシック"/>
          <w:strike w:val="0"/>
          <w:dstrike w:val="0"/>
          <w:color w:val="auto"/>
          <w:highlight w:val="none"/>
        </w:rPr>
        <w:t>ふじのくに福産品Ｗｅｂカタログ</w:t>
      </w:r>
      <w:r>
        <w:rPr>
          <w:rFonts w:hint="default" w:ascii="ＭＳ ゴシック" w:hAnsi="ＭＳ ゴシック" w:eastAsia="ＭＳ ゴシック"/>
          <w:strike w:val="0"/>
          <w:dstrike w:val="0"/>
          <w:highlight w:val="none"/>
        </w:rPr>
        <w:br w:type="textWrapping" w:clear="none"/>
      </w:r>
      <w:r>
        <w:rPr>
          <w:rFonts w:hint="eastAsia"/>
          <w:strike w:val="0"/>
          <w:dstrike w:val="0"/>
          <w:highlight w:val="none"/>
        </w:rPr>
        <w:t>県内の障害者就労施設等で製造しているこだわりの製品をＷＥＢで紹介する電子カタログ。</w:t>
      </w:r>
    </w:p>
    <w:p>
      <w:pPr>
        <w:pStyle w:val="0"/>
        <w:numPr>
          <w:ilvl w:val="0"/>
          <w:numId w:val="134"/>
        </w:numPr>
        <w:jc w:val="left"/>
        <w:rPr>
          <w:rFonts w:hint="eastAsia"/>
          <w:strike w:val="0"/>
          <w:dstrike w:val="0"/>
          <w:highlight w:val="none"/>
        </w:rPr>
      </w:pPr>
      <w:r>
        <w:rPr>
          <w:rFonts w:hint="eastAsia" w:ascii="ＭＳ ゴシック" w:hAnsi="ＭＳ ゴシック" w:eastAsia="ＭＳ ゴシック"/>
          <w:strike w:val="0"/>
          <w:dstrike w:val="0"/>
        </w:rPr>
        <w:t>ふじのくに福産品一人一品運動</w:t>
      </w:r>
    </w:p>
    <w:p>
      <w:pPr>
        <w:pStyle w:val="0"/>
        <w:numPr>
          <w:numId w:val="0"/>
        </w:numPr>
        <w:ind w:left="576" w:leftChars="0" w:firstLine="0" w:firstLineChars="0"/>
        <w:jc w:val="left"/>
        <w:rPr>
          <w:rFonts w:hint="eastAsia"/>
          <w:strike w:val="0"/>
          <w:dstrike w:val="0"/>
          <w:highlight w:val="none"/>
        </w:rPr>
      </w:pPr>
      <w:r>
        <w:rPr>
          <w:rFonts w:hint="eastAsia"/>
          <w:strike w:val="0"/>
          <w:dstrike w:val="0"/>
        </w:rPr>
        <w:t>障害のある人が働く障害福祉サービス事業所の製品である「ふじのくに福産品」（授産品の愛称）の継続的な購入を県民に対して呼び掛けることで、障害のある人の工賃向上と経済的な自立を推進する取組。</w:t>
      </w:r>
    </w:p>
    <w:p>
      <w:pPr>
        <w:pStyle w:val="0"/>
        <w:numPr>
          <w:ilvl w:val="0"/>
          <w:numId w:val="134"/>
        </w:numPr>
        <w:jc w:val="left"/>
        <w:rPr>
          <w:rFonts w:hint="eastAsia"/>
          <w:strike w:val="0"/>
          <w:dstrike w:val="0"/>
          <w:color w:val="FF0000"/>
        </w:rPr>
      </w:pPr>
      <w:r>
        <w:rPr>
          <w:rFonts w:hint="eastAsia" w:ascii="ＭＳ ゴシック" w:hAnsi="ＭＳ ゴシック" w:eastAsia="ＭＳ ゴシック"/>
          <w:strike w:val="0"/>
          <w:dstrike w:val="0"/>
          <w:color w:val="auto"/>
          <w:highlight w:val="none"/>
        </w:rPr>
        <w:t>ふじのくに福産品ブランド認定製品</w:t>
      </w:r>
      <w:r>
        <w:rPr>
          <w:rFonts w:hint="default" w:ascii="ＭＳ ゴシック" w:hAnsi="ＭＳ ゴシック" w:eastAsia="ＭＳ ゴシック"/>
          <w:strike w:val="0"/>
          <w:dstrike w:val="0"/>
          <w:color w:val="auto"/>
          <w:highlight w:val="none"/>
        </w:rPr>
        <w:br w:type="textWrapping" w:clear="none"/>
      </w:r>
      <w:r>
        <w:rPr>
          <w:rFonts w:hint="eastAsia"/>
          <w:strike w:val="0"/>
          <w:dstrike w:val="0"/>
          <w:color w:val="auto"/>
          <w:highlight w:val="none"/>
        </w:rPr>
        <w:t>県内の障害福祉サービス事業所で製作し、優れた品質をもつものとして県がお勧めする製品。アドバイザーによる助言や改良支援、販路開拓など、ふじのくに福産品（授産品）の売上増と工賃向上を目指す取組を行っている。</w:t>
      </w:r>
    </w:p>
    <w:p>
      <w:pPr>
        <w:pStyle w:val="0"/>
        <w:numPr>
          <w:ilvl w:val="0"/>
          <w:numId w:val="134"/>
        </w:numPr>
        <w:jc w:val="left"/>
        <w:rPr>
          <w:rFonts w:hint="eastAsia"/>
        </w:rPr>
      </w:pPr>
      <w:r>
        <w:rPr>
          <w:rFonts w:hint="eastAsia" w:ascii="ＭＳ ゴシック" w:hAnsi="ＭＳ ゴシック" w:eastAsia="ＭＳ ゴシック"/>
        </w:rPr>
        <w:t>放課後子供教室</w:t>
      </w:r>
      <w:r>
        <w:rPr>
          <w:rFonts w:hint="eastAsia" w:ascii="ＭＳ ゴシック" w:hAnsi="ＭＳ ゴシック" w:eastAsia="ＭＳ ゴシック"/>
        </w:rPr>
        <w:br w:type="textWrapping" w:clear="none"/>
      </w:r>
      <w:r>
        <w:rPr>
          <w:rFonts w:hint="eastAsia"/>
        </w:rPr>
        <w:t>放課後や週末に、地域ボランティア等が全ての子どもたちを対象とした安全・安心な活動拠点（居場所）をつくり、様々な体験や交流等を行う教室。</w:t>
      </w:r>
    </w:p>
    <w:p>
      <w:pPr>
        <w:pStyle w:val="0"/>
        <w:numPr>
          <w:ilvl w:val="0"/>
          <w:numId w:val="134"/>
        </w:numPr>
        <w:jc w:val="left"/>
        <w:rPr>
          <w:rFonts w:hint="eastAsia"/>
        </w:rPr>
      </w:pPr>
      <w:r>
        <w:rPr>
          <w:rFonts w:hint="eastAsia" w:ascii="ＭＳ ゴシック" w:hAnsi="ＭＳ ゴシック" w:eastAsia="ＭＳ ゴシック"/>
        </w:rPr>
        <w:t>放課後児童クラブ</w:t>
      </w:r>
      <w:r>
        <w:rPr>
          <w:rFonts w:hint="default" w:ascii="ＭＳ ゴシック" w:hAnsi="ＭＳ ゴシック" w:eastAsia="ＭＳ ゴシック"/>
        </w:rPr>
        <w:br w:type="textWrapping" w:clear="none"/>
      </w:r>
      <w:r>
        <w:rPr>
          <w:rFonts w:hint="eastAsia"/>
        </w:rPr>
        <w:t>小学校の余裕教室や児童館などで、共働き家庭等の小学校に就学している児童に放課後等の適切な遊びや生活の場を提供する安全・安心な居場所。</w:t>
      </w:r>
    </w:p>
    <w:p>
      <w:pPr>
        <w:pStyle w:val="0"/>
        <w:numPr>
          <w:ilvl w:val="0"/>
          <w:numId w:val="134"/>
        </w:numPr>
        <w:jc w:val="left"/>
        <w:rPr>
          <w:rFonts w:hint="eastAsia"/>
        </w:rPr>
      </w:pPr>
      <w:r>
        <w:rPr>
          <w:rFonts w:hint="eastAsia" w:ascii="ＭＳ ゴシック" w:hAnsi="ＭＳ ゴシック" w:eastAsia="ＭＳ ゴシック"/>
        </w:rPr>
        <w:t>放課後等デイサービス</w:t>
      </w:r>
      <w:r>
        <w:rPr>
          <w:rFonts w:hint="default" w:ascii="ＭＳ ゴシック" w:hAnsi="ＭＳ ゴシック" w:eastAsia="ＭＳ ゴシック"/>
        </w:rPr>
        <w:br w:type="textWrapping" w:clear="none"/>
      </w:r>
      <w:r>
        <w:rPr>
          <w:rFonts w:hint="eastAsia"/>
        </w:rPr>
        <w:t>児童福祉法に基づき、障害のある子どもに提供される通所サービス（障害児通所支援）の１つで、学校に就学している児童を対象として、授業の終了後又は休日等に、生活能力向上のための訓練、社会との交流の促進などの支援を行うサービス。</w:t>
      </w:r>
    </w:p>
    <w:p>
      <w:pPr>
        <w:pStyle w:val="0"/>
        <w:numPr>
          <w:ilvl w:val="0"/>
          <w:numId w:val="134"/>
        </w:numPr>
        <w:jc w:val="left"/>
        <w:rPr>
          <w:rFonts w:hint="eastAsia"/>
        </w:rPr>
      </w:pPr>
      <w:r>
        <w:rPr>
          <w:rFonts w:hint="eastAsia" w:ascii="ＭＳ ゴシック" w:hAnsi="ＭＳ ゴシック" w:eastAsia="ＭＳ ゴシック"/>
        </w:rPr>
        <w:t>防災ベッドフレーム</w:t>
      </w:r>
      <w:r>
        <w:rPr>
          <w:rFonts w:hint="default" w:ascii="ＭＳ ゴシック" w:hAnsi="ＭＳ ゴシック" w:eastAsia="ＭＳ ゴシック"/>
        </w:rPr>
        <w:br w:type="textWrapping" w:clear="none"/>
      </w:r>
      <w:r>
        <w:rPr>
          <w:rFonts w:hint="eastAsia"/>
        </w:rPr>
        <w:t>2002</w:t>
      </w:r>
      <w:r>
        <w:rPr>
          <w:rFonts w:hint="eastAsia"/>
        </w:rPr>
        <w:t>年度に静岡県が開発した住宅の耐震補強の代替措置。資金面等から住宅の耐震補強工事が困難な方などが、１階で就寝中に地震が起きても、家屋の倒壊から命を守ることができるよう、安全な空間を確保し身を守るもの。下部のベッド部分は木製、防護フレームは鋼鉄製。</w:t>
      </w:r>
    </w:p>
    <w:p>
      <w:pPr>
        <w:pStyle w:val="0"/>
        <w:numPr>
          <w:ilvl w:val="0"/>
          <w:numId w:val="134"/>
        </w:numPr>
        <w:jc w:val="left"/>
        <w:rPr>
          <w:rFonts w:hint="eastAsia"/>
        </w:rPr>
      </w:pPr>
      <w:r>
        <w:rPr>
          <w:rFonts w:hint="eastAsia" w:ascii="ＭＳ ゴシック" w:hAnsi="ＭＳ ゴシック" w:eastAsia="ＭＳ ゴシック"/>
        </w:rPr>
        <w:t>ホームヘルパー</w:t>
      </w:r>
    </w:p>
    <w:p>
      <w:pPr>
        <w:pStyle w:val="0"/>
        <w:numPr>
          <w:numId w:val="0"/>
        </w:numPr>
        <w:ind w:left="576" w:leftChars="0" w:firstLine="0" w:firstLineChars="0"/>
        <w:jc w:val="left"/>
        <w:rPr>
          <w:rFonts w:hint="eastAsia"/>
        </w:rPr>
      </w:pPr>
      <w:r>
        <w:rPr>
          <w:rFonts w:hint="eastAsia"/>
        </w:rPr>
        <w:t>障害のある人の家庭等におもむき、入浴等の介護、家事援助等の日常生活を営むのに必要なサービスを提供する者。</w:t>
      </w:r>
    </w:p>
    <w:p>
      <w:pPr>
        <w:pStyle w:val="0"/>
        <w:numPr>
          <w:ilvl w:val="0"/>
          <w:numId w:val="134"/>
        </w:numPr>
        <w:jc w:val="left"/>
        <w:rPr>
          <w:rFonts w:hint="eastAsia"/>
        </w:rPr>
      </w:pPr>
      <w:r>
        <w:rPr>
          <w:rFonts w:hint="eastAsia" w:ascii="ＭＳ ゴシック" w:hAnsi="ＭＳ ゴシック" w:eastAsia="ＭＳ ゴシック"/>
        </w:rPr>
        <w:t>補装具</w:t>
      </w:r>
      <w:r>
        <w:rPr>
          <w:rFonts w:hint="default" w:ascii="ＭＳ ゴシック" w:hAnsi="ＭＳ ゴシック" w:eastAsia="ＭＳ ゴシック"/>
        </w:rPr>
        <w:br w:type="textWrapping" w:clear="none"/>
      </w:r>
      <w:r>
        <w:rPr>
          <w:rFonts w:hint="eastAsia"/>
        </w:rPr>
        <w:t>身体障害のある人の身体機能を補完又は代替するための用具。購入、修理及び借受けに要する費用に対し助成制度がある。利用者負担は原則１割であるが、所得に応じた負担上限額がある。義肢、装具、車いす、補聴器等。</w:t>
      </w:r>
    </w:p>
    <w:p>
      <w:pPr>
        <w:pStyle w:val="0"/>
        <w:numPr>
          <w:numId w:val="0"/>
        </w:numPr>
        <w:ind w:left="576" w:leftChars="0" w:firstLine="0" w:firstLineChars="0"/>
        <w:jc w:val="left"/>
        <w:rPr>
          <w:rFonts w:hint="eastAsia"/>
        </w:rPr>
      </w:pPr>
    </w:p>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【ま行】</w:t>
      </w:r>
    </w:p>
    <w:p>
      <w:pPr>
        <w:pStyle w:val="0"/>
        <w:numPr>
          <w:ilvl w:val="0"/>
          <w:numId w:val="134"/>
        </w:numPr>
        <w:jc w:val="left"/>
        <w:rPr>
          <w:rFonts w:hint="eastAsia"/>
        </w:rPr>
      </w:pPr>
      <w:r>
        <w:rPr>
          <w:rFonts w:hint="eastAsia" w:ascii="ＭＳ ゴシック" w:hAnsi="ＭＳ ゴシック" w:eastAsia="ＭＳ ゴシック"/>
        </w:rPr>
        <w:t>民生委員・児童委員</w:t>
      </w:r>
      <w:r>
        <w:rPr>
          <w:rFonts w:hint="default" w:ascii="ＭＳ ゴシック" w:hAnsi="ＭＳ ゴシック" w:eastAsia="ＭＳ ゴシック"/>
        </w:rPr>
        <w:br w:type="textWrapping" w:clear="none"/>
      </w:r>
      <w:r>
        <w:rPr>
          <w:rFonts w:hint="eastAsia"/>
        </w:rPr>
        <w:t>民生委員法に基づいて厚生労働大臣から委嘱された</w:t>
      </w:r>
      <w:r>
        <w:rPr>
          <w:rFonts w:hint="eastAsia"/>
          <w:color w:val="auto"/>
          <w:highlight w:val="none"/>
        </w:rPr>
        <w:t>特別職の地方公務員</w:t>
      </w:r>
      <w:r>
        <w:rPr>
          <w:rFonts w:hint="eastAsia"/>
        </w:rPr>
        <w:t>（任期３年、無報酬）で、児童福祉法に定める児童委員を兼ねている。一定の区域を担当し、自らも地域住民の一員という性格をもって住民の見守りや相談活動を行い、必要に応じて専門機関へつないだり、福祉サービスの情報提供などを行う。</w:t>
      </w:r>
    </w:p>
    <w:p>
      <w:pPr>
        <w:pStyle w:val="0"/>
        <w:numPr>
          <w:ilvl w:val="0"/>
          <w:numId w:val="134"/>
        </w:numPr>
        <w:jc w:val="left"/>
        <w:rPr>
          <w:rFonts w:hint="eastAsia"/>
        </w:rPr>
      </w:pPr>
      <w:r>
        <w:rPr>
          <w:rFonts w:hint="eastAsia" w:ascii="ＭＳ ゴシック" w:hAnsi="ＭＳ ゴシック" w:eastAsia="ＭＳ ゴシック"/>
        </w:rPr>
        <w:t>盲導犬</w:t>
      </w:r>
      <w:r>
        <w:rPr>
          <w:rFonts w:hint="default" w:ascii="ＭＳ ゴシック" w:hAnsi="ＭＳ ゴシック" w:eastAsia="ＭＳ ゴシック"/>
        </w:rPr>
        <w:br w:type="textWrapping" w:clear="none"/>
      </w:r>
      <w:r>
        <w:rPr>
          <w:rFonts w:hint="eastAsia"/>
        </w:rPr>
        <w:t>視覚に障害のある人が安全に歩くことができるように、交差点や曲がり角、階段などを止まって知らせたり、電信柱や看板などの障害物を避けて歩行誘導したりするために特別な訓練を受けた犬。</w:t>
      </w:r>
    </w:p>
    <w:p>
      <w:pPr>
        <w:pStyle w:val="0"/>
        <w:numPr>
          <w:ilvl w:val="0"/>
          <w:numId w:val="134"/>
        </w:numPr>
        <w:jc w:val="left"/>
        <w:rPr>
          <w:rFonts w:hint="eastAsia"/>
        </w:rPr>
      </w:pPr>
      <w:r>
        <w:rPr>
          <w:rFonts w:hint="eastAsia" w:ascii="ＭＳ ゴシック" w:hAnsi="ＭＳ ゴシック" w:eastAsia="ＭＳ ゴシック"/>
        </w:rPr>
        <w:t>盲ろう者向け通訳兼介助者</w:t>
      </w:r>
      <w:r>
        <w:rPr>
          <w:rFonts w:hint="default" w:ascii="ＭＳ ゴシック" w:hAnsi="ＭＳ ゴシック" w:eastAsia="ＭＳ ゴシック"/>
        </w:rPr>
        <w:br w:type="textWrapping" w:clear="none"/>
      </w:r>
      <w:r>
        <w:rPr>
          <w:rFonts w:hint="eastAsia"/>
        </w:rPr>
        <w:t>視覚及び聴覚に重複した障害のある人（盲ろう者）のコミュニケーション及び移動等の支援をする者。</w:t>
      </w:r>
    </w:p>
    <w:p>
      <w:pPr>
        <w:pStyle w:val="0"/>
        <w:jc w:val="center"/>
        <w:rPr>
          <w:rFonts w:hint="eastAsia" w:ascii="ＭＳ ゴシック" w:hAnsi="ＭＳ ゴシック" w:eastAsia="ＭＳ ゴシック"/>
          <w:sz w:val="26"/>
        </w:rPr>
      </w:pPr>
    </w:p>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【や行】</w:t>
      </w:r>
    </w:p>
    <w:p>
      <w:pPr>
        <w:pStyle w:val="0"/>
        <w:numPr>
          <w:ilvl w:val="0"/>
          <w:numId w:val="134"/>
        </w:numPr>
        <w:jc w:val="left"/>
        <w:rPr>
          <w:rFonts w:hint="eastAsia"/>
        </w:rPr>
      </w:pPr>
      <w:r>
        <w:rPr>
          <w:rFonts w:hint="eastAsia" w:ascii="ＭＳ ゴシック" w:hAnsi="ＭＳ ゴシック" w:eastAsia="ＭＳ ゴシック"/>
        </w:rPr>
        <w:t>ユニバーサルデザイン</w:t>
      </w:r>
      <w:r>
        <w:rPr>
          <w:rFonts w:hint="default" w:ascii="ＭＳ ゴシック" w:hAnsi="ＭＳ ゴシック" w:eastAsia="ＭＳ ゴシック"/>
        </w:rPr>
        <w:br w:type="textWrapping" w:clear="none"/>
      </w:r>
      <w:r>
        <w:rPr>
          <w:rFonts w:hint="eastAsia"/>
        </w:rPr>
        <w:t>年齢、性別、能力、言語、考え方など、人々が持つ様々な特性や違いを認め合い、はじめから、できるだけすべての人が利用しやすいように、すべての人に配慮して、建築、施設、製品、環境、情報、社会の仕組み等をデザインしていこうとする考え方。</w:t>
      </w:r>
    </w:p>
    <w:p>
      <w:pPr>
        <w:pStyle w:val="0"/>
        <w:numPr>
          <w:ilvl w:val="0"/>
          <w:numId w:val="134"/>
        </w:numPr>
        <w:jc w:val="left"/>
        <w:rPr>
          <w:rFonts w:hint="eastAsia"/>
        </w:rPr>
      </w:pPr>
      <w:r>
        <w:rPr>
          <w:rFonts w:hint="eastAsia" w:ascii="ＭＳ ゴシック" w:hAnsi="ＭＳ ゴシック" w:eastAsia="ＭＳ ゴシック"/>
        </w:rPr>
        <w:t>要配慮者</w:t>
      </w:r>
      <w:r>
        <w:rPr>
          <w:rFonts w:hint="default" w:ascii="ＭＳ ゴシック" w:hAnsi="ＭＳ ゴシック" w:eastAsia="ＭＳ ゴシック"/>
        </w:rPr>
        <w:br w:type="textWrapping" w:clear="none"/>
      </w:r>
      <w:r>
        <w:rPr>
          <w:rFonts w:hint="eastAsia"/>
        </w:rPr>
        <w:t>災害時において、高齢者、障害のある人、乳幼児、その他特に配慮を要する方。</w:t>
      </w:r>
    </w:p>
    <w:p>
      <w:pPr>
        <w:pStyle w:val="0"/>
        <w:numPr>
          <w:ilvl w:val="0"/>
          <w:numId w:val="134"/>
        </w:numPr>
        <w:jc w:val="left"/>
        <w:rPr>
          <w:rFonts w:hint="eastAsia"/>
        </w:rPr>
      </w:pPr>
      <w:r>
        <w:rPr>
          <w:rFonts w:hint="eastAsia" w:ascii="ＭＳ ゴシック" w:hAnsi="ＭＳ ゴシック" w:eastAsia="ＭＳ ゴシック"/>
        </w:rPr>
        <w:t>要約筆記者</w:t>
      </w:r>
      <w:r>
        <w:rPr>
          <w:rFonts w:hint="default"/>
        </w:rPr>
        <w:br w:type="textWrapping" w:clear="none"/>
      </w:r>
      <w:r>
        <w:rPr>
          <w:rFonts w:hint="eastAsia"/>
        </w:rPr>
        <w:t>聴覚等の障害のため、意思疎通等を図ることに支障がある障害のある人等に対し、要約筆記（発言の内容をその場で文字にして伝える筆記通訳）により意思疎通支援を行う者。</w:t>
      </w:r>
    </w:p>
    <w:p>
      <w:pPr>
        <w:pStyle w:val="0"/>
        <w:rPr>
          <w:rFonts w:hint="eastAsia" w:ascii="ＭＳ ゴシック" w:hAnsi="ＭＳ ゴシック" w:eastAsia="ＭＳ ゴシック"/>
          <w:sz w:val="26"/>
        </w:rPr>
      </w:pPr>
    </w:p>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【ら行】</w:t>
      </w:r>
    </w:p>
    <w:p>
      <w:pPr>
        <w:pStyle w:val="0"/>
        <w:numPr>
          <w:ilvl w:val="0"/>
          <w:numId w:val="134"/>
        </w:numPr>
        <w:jc w:val="left"/>
        <w:rPr>
          <w:rFonts w:hint="eastAsia"/>
        </w:rPr>
      </w:pPr>
      <w:r>
        <w:rPr>
          <w:rFonts w:hint="eastAsia" w:ascii="ＭＳ ゴシック" w:hAnsi="ＭＳ ゴシック" w:eastAsia="ＭＳ ゴシック"/>
        </w:rPr>
        <w:t>レスパイト</w:t>
      </w:r>
      <w:r>
        <w:rPr>
          <w:rFonts w:hint="default" w:ascii="ＭＳ ゴシック" w:hAnsi="ＭＳ ゴシック" w:eastAsia="ＭＳ ゴシック"/>
        </w:rPr>
        <w:br w:type="textWrapping" w:clear="none"/>
      </w:r>
      <w:r>
        <w:rPr>
          <w:rFonts w:hint="eastAsia"/>
        </w:rPr>
        <w:t>在宅で障害のある人などを看護・介護している家族に、支援者が看護・介護を一時的に代替してリフレッシュしてもらうこと。</w:t>
      </w:r>
    </w:p>
    <w:p>
      <w:pPr>
        <w:pStyle w:val="0"/>
        <w:numPr>
          <w:ilvl w:val="0"/>
          <w:numId w:val="134"/>
        </w:numPr>
        <w:jc w:val="left"/>
        <w:rPr>
          <w:rFonts w:hint="eastAsia"/>
          <w:color w:val="auto"/>
        </w:rPr>
        <w:sectPr>
          <w:headerReference r:id="rId56" w:type="even"/>
          <w:headerReference r:id="rId57" w:type="default"/>
          <w:footerReference r:id="rId59" w:type="even"/>
          <w:footerReference r:id="rId60" w:type="default"/>
          <w:headerReference r:id="rId55" w:type="first"/>
          <w:footerReference r:id="rId58" w:type="first"/>
          <w:pgSz w:w="11906" w:h="16838"/>
          <w:pgMar w:top="1134" w:right="1021" w:bottom="1134" w:left="1134" w:header="284" w:footer="284" w:gutter="0"/>
          <w:cols w:space="425" w:num="2"/>
          <w:textDirection w:val="lrTb"/>
          <w:docGrid w:type="lines" w:linePitch="428"/>
        </w:sectPr>
      </w:pPr>
      <w:r>
        <w:rPr>
          <w:rFonts w:hint="eastAsia" w:ascii="ＭＳ ゴシック" w:hAnsi="ＭＳ ゴシック" w:eastAsia="ＭＳ ゴシック"/>
        </w:rPr>
        <w:t>ろう者</w:t>
      </w:r>
      <w:r>
        <w:rPr>
          <w:rFonts w:hint="default"/>
        </w:rPr>
        <w:br w:type="textWrapping" w:clear="none"/>
      </w:r>
      <w:r>
        <w:rPr>
          <w:rFonts w:hint="eastAsia"/>
        </w:rPr>
        <w:t>聴覚に障害のある人のうち、手話を言語として日常生活又は社会生活を営む者。</w:t>
      </w:r>
    </w:p>
    <w:p>
      <w:pPr>
        <w:pStyle w:val="2"/>
        <w:rPr>
          <w:rFonts w:hint="eastAsia"/>
          <w:sz w:val="32"/>
        </w:rPr>
      </w:pPr>
      <w:r>
        <w:rPr>
          <w:rFonts w:hint="eastAsia"/>
        </w:rPr>
        <w:t xml:space="preserve">  </w:t>
      </w:r>
      <w:r>
        <w:rPr>
          <w:rFonts w:hint="eastAsia"/>
          <w:sz w:val="32"/>
        </w:rPr>
        <w:t>資料８　</w:t>
      </w:r>
      <w:r>
        <w:rPr>
          <w:rFonts w:hint="default"/>
          <w:sz w:val="32"/>
        </w:rPr>
        <w:t>主</w:t>
      </w:r>
      <w:r>
        <w:rPr>
          <w:rFonts w:hint="eastAsia"/>
          <w:sz w:val="32"/>
        </w:rPr>
        <w:t>な</w:t>
      </w:r>
      <w:r>
        <w:rPr>
          <w:rFonts w:hint="default"/>
          <w:sz w:val="32"/>
        </w:rPr>
        <w:t>障害</w:t>
      </w:r>
      <w:r>
        <w:rPr>
          <w:rFonts w:hint="eastAsia"/>
          <w:sz w:val="32"/>
        </w:rPr>
        <w:t>に</w:t>
      </w:r>
      <w:r>
        <w:rPr>
          <w:rFonts w:hint="default"/>
          <w:sz w:val="32"/>
        </w:rPr>
        <w:t>関</w:t>
      </w:r>
      <w:r>
        <w:rPr>
          <w:rFonts w:hint="eastAsia"/>
          <w:sz w:val="32"/>
        </w:rPr>
        <w:t>する</w:t>
      </w:r>
      <w:r>
        <w:rPr>
          <w:rFonts w:hint="default"/>
          <w:sz w:val="32"/>
        </w:rPr>
        <w:t>啓発</w:t>
      </w:r>
      <w:r>
        <w:rPr>
          <w:rFonts w:hint="eastAsia"/>
          <w:sz w:val="32"/>
        </w:rPr>
        <w:t>マーク</w:t>
      </w:r>
    </w:p>
    <w:tbl>
      <w:tblPr>
        <w:tblStyle w:val="11"/>
        <w:tblW w:w="9781"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Look w:firstRow="0" w:lastRow="0" w:firstColumn="0" w:lastColumn="0" w:noHBand="1" w:noVBand="1" w:val="0600"/>
      </w:tblPr>
      <w:tblGrid>
        <w:gridCol w:w="1463"/>
        <w:gridCol w:w="1768"/>
        <w:gridCol w:w="4282"/>
        <w:gridCol w:w="2268"/>
      </w:tblGrid>
      <w:tr>
        <w:trPr>
          <w:trHeight w:val="336"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マーク</w:t>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名称</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表す意味など</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問い合わせ先等</w:t>
            </w:r>
          </w:p>
        </w:tc>
      </w:tr>
      <w:tr>
        <w:trPr>
          <w:trHeight w:val="1693"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drawing>
                <wp:anchor simplePos="0" relativeHeight="85" behindDoc="0" locked="0" layoutInCell="1" hidden="0" allowOverlap="1">
                  <wp:simplePos x="0" y="0"/>
                  <wp:positionH relativeFrom="column">
                    <wp:posOffset>-42545</wp:posOffset>
                  </wp:positionH>
                  <wp:positionV relativeFrom="paragraph">
                    <wp:posOffset>252730</wp:posOffset>
                  </wp:positionV>
                  <wp:extent cx="883920" cy="1091565"/>
                  <wp:effectExtent l="0" t="0" r="0" b="0"/>
                  <wp:wrapNone/>
                  <wp:docPr id="1125" name="オブジェクト 0" descr="図2:盲人を表示する国際的標識"/>
                  <a:graphic xmlns:a="http://schemas.openxmlformats.org/drawingml/2006/main">
                    <a:graphicData uri="http://schemas.openxmlformats.org/drawingml/2006/picture">
                      <pic:pic xmlns:pic="http://schemas.openxmlformats.org/drawingml/2006/picture">
                        <pic:nvPicPr>
                          <pic:cNvPr id="1125" name="オブジェクト 0" descr="図2:盲人を表示する国際的標識"/>
                          <pic:cNvPicPr>
                            <a:picLocks noChangeAspect="1"/>
                          </pic:cNvPicPr>
                        </pic:nvPicPr>
                        <pic:blipFill>
                          <a:blip r:embed="rId62" r:link="rId61"/>
                          <a:stretch>
                            <a:fillRect/>
                          </a:stretch>
                        </pic:blipFill>
                        <pic:spPr>
                          <a:xfrm>
                            <a:off x="0" y="0"/>
                            <a:ext cx="883920" cy="1091565"/>
                          </a:xfrm>
                          <a:prstGeom prst="rect">
                            <a:avLst/>
                          </a:prstGeom>
                          <a:noFill/>
                          <a:ln>
                            <a:miter/>
                          </a:ln>
                        </pic:spPr>
                      </pic:pic>
                    </a:graphicData>
                  </a:graphic>
                </wp:anchor>
              </w:drawing>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国際シンボルマーク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46" w:leftChars="19" w:right="5" w:rightChars="2" w:firstLine="240" w:firstLineChars="100"/>
              <w:rPr>
                <w:rFonts w:hint="eastAsia"/>
              </w:rPr>
            </w:pPr>
            <w:r>
              <w:rPr>
                <w:rFonts w:hint="eastAsia"/>
              </w:rPr>
              <w:t>国際シンボルマーク（</w:t>
            </w:r>
            <w:r>
              <w:rPr>
                <w:rFonts w:hint="default"/>
              </w:rPr>
              <w:t>Internationa</w:t>
            </w:r>
            <w:r>
              <w:rPr>
                <w:rFonts w:hint="eastAsia"/>
              </w:rPr>
              <w:br w:type="textWrapping" w:clear="none"/>
            </w:r>
            <w:r>
              <w:rPr>
                <w:rFonts w:hint="default"/>
              </w:rPr>
              <w:t>l</w:t>
            </w:r>
            <w:r>
              <w:rPr>
                <w:rFonts w:hint="eastAsia"/>
              </w:rPr>
              <w:t xml:space="preserve"> </w:t>
            </w:r>
            <w:r>
              <w:rPr>
                <w:rFonts w:hint="default"/>
              </w:rPr>
              <w:t>Symbol</w:t>
            </w:r>
            <w:r>
              <w:rPr>
                <w:rFonts w:hint="eastAsia"/>
              </w:rPr>
              <w:t xml:space="preserve"> </w:t>
            </w:r>
            <w:r>
              <w:rPr>
                <w:rFonts w:hint="default"/>
              </w:rPr>
              <w:t>of</w:t>
            </w:r>
            <w:r>
              <w:rPr>
                <w:rFonts w:hint="eastAsia"/>
              </w:rPr>
              <w:t xml:space="preserve"> </w:t>
            </w:r>
            <w:r>
              <w:rPr>
                <w:rFonts w:hint="default"/>
              </w:rPr>
              <w:t>Access</w:t>
            </w:r>
            <w:r>
              <w:rPr>
                <w:rFonts w:hint="eastAsia"/>
              </w:rPr>
              <w:t>)</w:t>
            </w:r>
            <w:r>
              <w:rPr>
                <w:rFonts w:hint="eastAsia"/>
              </w:rPr>
              <w:t>は、「障害のある人が</w:t>
            </w:r>
            <w:r>
              <w:rPr>
                <w:rFonts w:hint="default" w:ascii="ＭＳ 明朝" w:hAnsi="ＭＳ 明朝"/>
              </w:rPr>
              <w:t>利用</w:t>
            </w:r>
            <w:r>
              <w:rPr>
                <w:rFonts w:hint="eastAsia"/>
              </w:rPr>
              <w:t>できる建築物、施設であることを明確に示す世界共通のシンボルマーク」です。このマークは、「すべての障害のある人を対象にしている」ものです。</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5" w:leftChars="2" w:right="5" w:rightChars="2"/>
              <w:rPr>
                <w:rFonts w:hint="eastAsia"/>
              </w:rPr>
            </w:pPr>
            <w:r>
              <w:rPr>
                <w:rFonts w:hint="default" w:ascii="ＭＳ 明朝" w:hAnsi="ＭＳ 明朝"/>
              </w:rPr>
              <w:t>公益</w:t>
            </w:r>
            <w:r>
              <w:rPr>
                <w:rFonts w:hint="eastAsia"/>
              </w:rPr>
              <w:t>財団法人日本</w:t>
            </w:r>
            <w:r>
              <w:rPr>
                <w:rFonts w:hint="default" w:ascii="ＭＳ 明朝" w:hAnsi="ＭＳ 明朝"/>
              </w:rPr>
              <w:t>障害者</w:t>
            </w:r>
            <w:r>
              <w:rPr>
                <w:rFonts w:hint="eastAsia"/>
              </w:rPr>
              <w:t>リハビリテーション協会</w:t>
            </w:r>
          </w:p>
          <w:p>
            <w:pPr>
              <w:pStyle w:val="0"/>
              <w:ind w:left="5" w:leftChars="2" w:right="5" w:rightChars="2"/>
              <w:rPr>
                <w:rFonts w:hint="eastAsia"/>
              </w:rPr>
            </w:pPr>
            <w:r>
              <w:rPr>
                <w:rFonts w:hint="default"/>
              </w:rPr>
              <w:t>TEL</w:t>
            </w:r>
            <w:r>
              <w:rPr>
                <w:rFonts w:hint="eastAsia"/>
              </w:rPr>
              <w:t>:</w:t>
            </w:r>
            <w:r>
              <w:rPr>
                <w:rFonts w:hint="default"/>
              </w:rPr>
              <w:t>03-5273-0601</w:t>
            </w:r>
            <w:r>
              <w:rPr>
                <w:rFonts w:hint="eastAsia"/>
              </w:rPr>
              <w:t xml:space="preserve"> </w:t>
            </w:r>
            <w:r>
              <w:rPr>
                <w:rFonts w:hint="default"/>
              </w:rPr>
              <w:t>FAX</w:t>
            </w:r>
            <w:r>
              <w:rPr>
                <w:rFonts w:hint="eastAsia"/>
              </w:rPr>
              <w:t>:</w:t>
            </w:r>
            <w:r>
              <w:rPr>
                <w:rFonts w:hint="default"/>
              </w:rPr>
              <w:t>03</w:t>
            </w:r>
            <w:r>
              <w:rPr>
                <w:rFonts w:hint="eastAsia"/>
              </w:rPr>
              <w:t>-5273-1523</w:t>
            </w:r>
          </w:p>
        </w:tc>
      </w:tr>
      <w:tr>
        <w:trPr>
          <w:trHeight w:val="1841"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drawing>
                <wp:anchor simplePos="0" relativeHeight="84" behindDoc="0" locked="1" layoutInCell="1" hidden="0" allowOverlap="0">
                  <wp:simplePos x="0" y="0"/>
                  <wp:positionH relativeFrom="column">
                    <wp:posOffset>-32385</wp:posOffset>
                  </wp:positionH>
                  <wp:positionV relativeFrom="page">
                    <wp:posOffset>1870075</wp:posOffset>
                  </wp:positionV>
                  <wp:extent cx="840105" cy="1035685"/>
                  <wp:effectExtent l="0" t="0" r="0" b="0"/>
                  <wp:wrapNone/>
                  <wp:docPr id="1126" name="オブジェクト 0"/>
                  <a:graphic xmlns:a="http://schemas.openxmlformats.org/drawingml/2006/main">
                    <a:graphicData uri="http://schemas.openxmlformats.org/drawingml/2006/picture">
                      <pic:pic xmlns:pic="http://schemas.openxmlformats.org/drawingml/2006/picture">
                        <pic:nvPicPr>
                          <pic:cNvPr id="1126" name="オブジェクト 0"/>
                          <pic:cNvPicPr>
                            <a:picLocks noChangeAspect="1"/>
                          </pic:cNvPicPr>
                        </pic:nvPicPr>
                        <pic:blipFill>
                          <a:blip r:embed="rId63"/>
                          <a:stretch>
                            <a:fillRect/>
                          </a:stretch>
                        </pic:blipFill>
                        <pic:spPr>
                          <a:xfrm>
                            <a:off x="0" y="0"/>
                            <a:ext cx="840105" cy="1035685"/>
                          </a:xfrm>
                          <a:prstGeom prst="rect">
                            <a:avLst/>
                          </a:prstGeom>
                          <a:noFill/>
                          <a:ln>
                            <a:miter/>
                          </a:ln>
                        </pic:spPr>
                      </pic:pic>
                    </a:graphicData>
                  </a:graphic>
                </wp:anchor>
              </w:drawing>
            </w:r>
            <w:r>
              <w:rPr>
                <w:rFonts w:hint="eastAsia"/>
              </w:rPr>
              <w:drawing>
                <wp:anchor simplePos="0" relativeHeight="83" behindDoc="0" locked="0" layoutInCell="1" hidden="0" allowOverlap="1">
                  <wp:simplePos x="0" y="0"/>
                  <wp:positionH relativeFrom="column">
                    <wp:posOffset>-42545</wp:posOffset>
                  </wp:positionH>
                  <wp:positionV relativeFrom="page">
                    <wp:posOffset>91440</wp:posOffset>
                  </wp:positionV>
                  <wp:extent cx="883920" cy="922020"/>
                  <wp:effectExtent l="0" t="0" r="0" b="0"/>
                  <wp:wrapNone/>
                  <wp:docPr id="1127" name="オブジェクト 0"/>
                  <a:graphic xmlns:a="http://schemas.openxmlformats.org/drawingml/2006/main">
                    <a:graphicData uri="http://schemas.openxmlformats.org/drawingml/2006/picture">
                      <pic:pic xmlns:pic="http://schemas.openxmlformats.org/drawingml/2006/picture">
                        <pic:nvPicPr>
                          <pic:cNvPr id="1127" name="オブジェクト 0"/>
                          <pic:cNvPicPr>
                            <a:picLocks noChangeAspect="1"/>
                          </pic:cNvPicPr>
                        </pic:nvPicPr>
                        <pic:blipFill>
                          <a:blip r:embed="rId64"/>
                          <a:stretch>
                            <a:fillRect/>
                          </a:stretch>
                        </pic:blipFill>
                        <pic:spPr>
                          <a:xfrm>
                            <a:off x="0" y="0"/>
                            <a:ext cx="883920" cy="922020"/>
                          </a:xfrm>
                          <a:prstGeom prst="rect">
                            <a:avLst/>
                          </a:prstGeom>
                          <a:noFill/>
                          <a:ln>
                            <a:miter/>
                          </a:ln>
                        </pic:spPr>
                      </pic:pic>
                    </a:graphicData>
                  </a:graphic>
                </wp:anchor>
              </w:drawing>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視覚に障害のある人のための国際シンボルマーク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46" w:leftChars="19" w:right="5" w:rightChars="2" w:firstLine="240" w:firstLineChars="100"/>
              <w:rPr>
                <w:rFonts w:hint="eastAsia"/>
              </w:rPr>
            </w:pPr>
            <w:r>
              <w:rPr>
                <w:rFonts w:hint="default"/>
              </w:rPr>
              <w:t>1984</w:t>
            </w:r>
            <w:r>
              <w:rPr>
                <w:rFonts w:hint="eastAsia"/>
              </w:rPr>
              <w:t>年に世界盲人連合（ＷＢＵ・加盟</w:t>
            </w:r>
            <w:r>
              <w:rPr>
                <w:rFonts w:hint="default"/>
              </w:rPr>
              <w:t>160</w:t>
            </w:r>
            <w:r>
              <w:rPr>
                <w:rFonts w:hint="eastAsia"/>
              </w:rPr>
              <w:t>ヶ国）で制定された「視覚に障害のある人のための国際シンボルマーク」です。</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社会福祉法人日本盲人福祉委員会</w:t>
            </w:r>
          </w:p>
          <w:p>
            <w:pPr>
              <w:pStyle w:val="0"/>
              <w:ind w:left="5" w:leftChars="2" w:right="5" w:rightChars="2"/>
              <w:rPr>
                <w:rFonts w:hint="eastAsia"/>
              </w:rPr>
            </w:pPr>
            <w:r>
              <w:rPr>
                <w:rFonts w:hint="default"/>
              </w:rPr>
              <w:t>TEL</w:t>
            </w:r>
            <w:r>
              <w:rPr>
                <w:rFonts w:hint="eastAsia"/>
              </w:rPr>
              <w:t>:</w:t>
            </w:r>
            <w:r>
              <w:rPr>
                <w:rFonts w:hint="default"/>
              </w:rPr>
              <w:t>03-5291-7885</w:t>
            </w:r>
          </w:p>
          <w:p>
            <w:pPr>
              <w:pStyle w:val="0"/>
              <w:ind w:left="5" w:leftChars="2" w:right="5" w:rightChars="2"/>
              <w:rPr>
                <w:rFonts w:hint="eastAsia"/>
              </w:rPr>
            </w:pPr>
            <w:r>
              <w:rPr>
                <w:rFonts w:hint="default"/>
              </w:rPr>
              <w:t>FAX</w:t>
            </w:r>
            <w:r>
              <w:rPr>
                <w:rFonts w:hint="eastAsia"/>
              </w:rPr>
              <w:t>:</w:t>
            </w:r>
            <w:r>
              <w:rPr>
                <w:rFonts w:hint="default"/>
              </w:rPr>
              <w:t>03-5291-7886</w:t>
            </w:r>
          </w:p>
        </w:tc>
      </w:tr>
      <w:tr>
        <w:trPr>
          <w:trHeight w:val="4027"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「白杖</w:t>
            </w:r>
            <w:r>
              <w:rPr>
                <w:rFonts w:hint="eastAsia"/>
              </w:rPr>
              <w:t>SOS</w:t>
            </w:r>
            <w:r>
              <w:rPr>
                <w:rFonts w:hint="eastAsia"/>
              </w:rPr>
              <w:t>シグナル」普及啓発シンボルマーク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46" w:leftChars="19" w:right="5" w:rightChars="2" w:firstLine="240" w:firstLineChars="100"/>
              <w:rPr>
                <w:rFonts w:hint="eastAsia"/>
              </w:rPr>
            </w:pPr>
            <w:r>
              <w:rPr>
                <w:rFonts w:hint="eastAsia"/>
              </w:rPr>
              <w:t>白杖を頭上</w:t>
            </w:r>
            <w:r>
              <w:rPr>
                <w:rFonts w:hint="eastAsia"/>
              </w:rPr>
              <w:t>50cm</w:t>
            </w:r>
            <w:r>
              <w:rPr>
                <w:rFonts w:hint="eastAsia"/>
              </w:rPr>
              <w:t>程度に掲げて</w:t>
            </w:r>
            <w:r>
              <w:rPr>
                <w:rFonts w:hint="eastAsia"/>
              </w:rPr>
              <w:t>SOS</w:t>
            </w:r>
            <w:r>
              <w:rPr>
                <w:rFonts w:hint="eastAsia"/>
              </w:rPr>
              <w:t>のシグナルを示している視覚に障害のある人を見かけたら、進んで声をかけて支援しようという「白杖</w:t>
            </w:r>
            <w:r>
              <w:rPr>
                <w:rFonts w:hint="eastAsia"/>
              </w:rPr>
              <w:t>SOS</w:t>
            </w:r>
            <w:r>
              <w:rPr>
                <w:rFonts w:hint="eastAsia"/>
              </w:rPr>
              <w:t>シグナル」運動の普及啓発シンボルマークです。</w:t>
            </w:r>
          </w:p>
          <w:p>
            <w:pPr>
              <w:pStyle w:val="0"/>
              <w:ind w:left="46" w:leftChars="19" w:right="5" w:rightChars="2" w:firstLine="240" w:firstLineChars="100"/>
              <w:rPr>
                <w:rFonts w:hint="eastAsia"/>
              </w:rPr>
            </w:pPr>
            <w:r>
              <w:rPr>
                <w:rFonts w:hint="eastAsia"/>
              </w:rPr>
              <w:t>白杖による</w:t>
            </w:r>
            <w:r>
              <w:rPr>
                <w:rFonts w:hint="eastAsia"/>
              </w:rPr>
              <w:t>SOS</w:t>
            </w:r>
            <w:r>
              <w:rPr>
                <w:rFonts w:hint="eastAsia"/>
              </w:rPr>
              <w:t>のシグナルを見かけたら、進んで声をかけ、困っていることなどを聞き、サポートをしてください。</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岐阜市福祉部福祉事務所障がい福祉課</w:t>
            </w:r>
          </w:p>
          <w:p>
            <w:pPr>
              <w:pStyle w:val="0"/>
              <w:rPr>
                <w:rFonts w:hint="eastAsia"/>
              </w:rPr>
            </w:pPr>
            <w:r>
              <w:rPr>
                <w:rFonts w:hint="eastAsia"/>
              </w:rPr>
              <w:t>TEL:058-214-2138</w:t>
            </w:r>
          </w:p>
          <w:p>
            <w:pPr>
              <w:pStyle w:val="0"/>
              <w:rPr>
                <w:rFonts w:hint="eastAsia"/>
              </w:rPr>
            </w:pPr>
            <w:r>
              <w:rPr>
                <w:rFonts w:hint="eastAsia"/>
              </w:rPr>
              <w:t>FAX:058-265-7613</w:t>
            </w:r>
          </w:p>
        </w:tc>
      </w:tr>
      <w:tr>
        <w:trPr>
          <w:trHeight w:val="4395"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drawing>
                <wp:anchor simplePos="0" relativeHeight="86" behindDoc="0" locked="0" layoutInCell="1" hidden="0" allowOverlap="1">
                  <wp:simplePos x="0" y="0"/>
                  <wp:positionH relativeFrom="column">
                    <wp:posOffset>0</wp:posOffset>
                  </wp:positionH>
                  <wp:positionV relativeFrom="page">
                    <wp:posOffset>943610</wp:posOffset>
                  </wp:positionV>
                  <wp:extent cx="883920" cy="883920"/>
                  <wp:effectExtent l="0" t="0" r="0" b="0"/>
                  <wp:wrapNone/>
                  <wp:docPr id="1128" name="オブジェクト 0"/>
                  <a:graphic xmlns:a="http://schemas.openxmlformats.org/drawingml/2006/main">
                    <a:graphicData uri="http://schemas.openxmlformats.org/drawingml/2006/picture">
                      <pic:pic xmlns:pic="http://schemas.openxmlformats.org/drawingml/2006/picture">
                        <pic:nvPicPr>
                          <pic:cNvPr id="1128" name="オブジェクト 0"/>
                          <pic:cNvPicPr>
                            <a:picLocks noChangeAspect="1"/>
                          </pic:cNvPicPr>
                        </pic:nvPicPr>
                        <pic:blipFill>
                          <a:blip r:embed="rId65"/>
                          <a:stretch>
                            <a:fillRect/>
                          </a:stretch>
                        </pic:blipFill>
                        <pic:spPr>
                          <a:xfrm>
                            <a:off x="0" y="0"/>
                            <a:ext cx="883920" cy="883920"/>
                          </a:xfrm>
                          <a:prstGeom prst="rect">
                            <a:avLst/>
                          </a:prstGeom>
                          <a:noFill/>
                          <a:ln>
                            <a:miter/>
                          </a:ln>
                        </pic:spPr>
                      </pic:pic>
                    </a:graphicData>
                  </a:graphic>
                </wp:anchor>
              </w:drawing>
            </w:r>
          </w:p>
          <w:p>
            <w:pPr>
              <w:pStyle w:val="0"/>
              <w:rPr>
                <w:rFonts w:hint="eastAsia"/>
              </w:rPr>
            </w:pP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耳マーク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46" w:leftChars="19" w:right="5" w:rightChars="2" w:firstLine="240" w:firstLineChars="100"/>
              <w:rPr>
                <w:rFonts w:hint="eastAsia"/>
              </w:rPr>
            </w:pPr>
            <w:r>
              <w:rPr>
                <w:rFonts w:hint="eastAsia"/>
              </w:rPr>
              <w:t>聴覚障害のある人は、障害のあることが、</w:t>
            </w:r>
            <w:r>
              <w:rPr>
                <w:rFonts w:hint="default" w:ascii="ＭＳ 明朝" w:hAnsi="ＭＳ 明朝"/>
              </w:rPr>
              <w:t>外見</w:t>
            </w:r>
            <w:r>
              <w:rPr>
                <w:rFonts w:hint="eastAsia"/>
              </w:rPr>
              <w:t>からは</w:t>
            </w:r>
            <w:r>
              <w:rPr>
                <w:rFonts w:hint="default" w:ascii="ＭＳ 明朝" w:hAnsi="ＭＳ 明朝"/>
              </w:rPr>
              <w:t>分かりにくい</w:t>
            </w:r>
            <w:r>
              <w:rPr>
                <w:rFonts w:hint="eastAsia"/>
              </w:rPr>
              <w:t>ために誤解されたり、不利益な</w:t>
            </w:r>
            <w:r>
              <w:rPr>
                <w:rFonts w:hint="default" w:ascii="ＭＳ 明朝" w:hAnsi="ＭＳ 明朝"/>
              </w:rPr>
              <w:t>待遇</w:t>
            </w:r>
            <w:r>
              <w:rPr>
                <w:rFonts w:hint="eastAsia"/>
              </w:rPr>
              <w:t>を</w:t>
            </w:r>
            <w:r>
              <w:rPr>
                <w:rFonts w:hint="default" w:ascii="ＭＳ 明朝" w:hAnsi="ＭＳ 明朝"/>
              </w:rPr>
              <w:t>受</w:t>
            </w:r>
            <w:r>
              <w:rPr>
                <w:rFonts w:hint="eastAsia"/>
              </w:rPr>
              <w:t>けたり、危険にさらされたりするなど、社会生活の上で不安は数知れなくあります。</w:t>
            </w:r>
          </w:p>
          <w:p>
            <w:pPr>
              <w:pStyle w:val="0"/>
              <w:ind w:left="46" w:leftChars="19" w:right="5" w:rightChars="2" w:firstLine="240" w:firstLineChars="100"/>
              <w:rPr>
                <w:rFonts w:hint="eastAsia"/>
              </w:rPr>
            </w:pPr>
            <w:r>
              <w:rPr>
                <w:rFonts w:hint="default" w:ascii="ＭＳ 明朝" w:hAnsi="ＭＳ 明朝"/>
              </w:rPr>
              <w:t>視覚障害</w:t>
            </w:r>
            <w:r>
              <w:rPr>
                <w:rFonts w:hint="eastAsia"/>
              </w:rPr>
              <w:t>のある人の「白い杖」や「くるま椅子マーク」などと同様に耳が不自由ですという自己表示が必要ということで考案されたものが耳マークです。</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5" w:leftChars="2" w:right="5" w:rightChars="2"/>
              <w:rPr>
                <w:rFonts w:hint="eastAsia"/>
              </w:rPr>
            </w:pPr>
            <w:r>
              <w:rPr>
                <w:rFonts w:hint="default" w:ascii="ＭＳ 明朝" w:hAnsi="ＭＳ 明朝"/>
              </w:rPr>
              <w:t>一般社団法人</w:t>
            </w:r>
            <w:r>
              <w:rPr>
                <w:rFonts w:hint="eastAsia"/>
              </w:rPr>
              <w:t>全日本難聴者・中途失聴者団体連合会</w:t>
            </w:r>
          </w:p>
          <w:p>
            <w:pPr>
              <w:pStyle w:val="0"/>
              <w:ind w:left="5" w:leftChars="2" w:right="5" w:rightChars="2"/>
              <w:rPr>
                <w:rFonts w:hint="eastAsia"/>
              </w:rPr>
            </w:pPr>
            <w:r>
              <w:rPr>
                <w:rFonts w:hint="default"/>
              </w:rPr>
              <w:t>TEL</w:t>
            </w:r>
            <w:r>
              <w:rPr>
                <w:rFonts w:hint="eastAsia"/>
              </w:rPr>
              <w:t>:</w:t>
            </w:r>
            <w:r>
              <w:rPr>
                <w:rFonts w:hint="default"/>
              </w:rPr>
              <w:t>03-3225-5600</w:t>
            </w:r>
          </w:p>
          <w:p>
            <w:pPr>
              <w:pStyle w:val="0"/>
              <w:ind w:left="5" w:leftChars="2" w:right="5" w:rightChars="2"/>
              <w:rPr>
                <w:rFonts w:hint="eastAsia"/>
              </w:rPr>
            </w:pPr>
            <w:r>
              <w:rPr>
                <w:rFonts w:hint="default"/>
              </w:rPr>
              <w:t>FAX</w:t>
            </w:r>
            <w:r>
              <w:rPr>
                <w:rFonts w:hint="eastAsia"/>
              </w:rPr>
              <w:t>:</w:t>
            </w:r>
            <w:r>
              <w:rPr>
                <w:rFonts w:hint="default"/>
              </w:rPr>
              <w:t>03</w:t>
            </w:r>
            <w:r>
              <w:rPr>
                <w:rFonts w:hint="eastAsia"/>
              </w:rPr>
              <w:t>-3354-0046</w:t>
            </w:r>
          </w:p>
        </w:tc>
      </w:tr>
    </w:tbl>
    <w:p>
      <w:pPr>
        <w:pStyle w:val="0"/>
        <w:jc w:val="left"/>
        <w:rPr>
          <w:rFonts w:hint="eastAsia"/>
        </w:rPr>
      </w:pPr>
    </w:p>
    <w:p>
      <w:pPr>
        <w:pStyle w:val="0"/>
        <w:jc w:val="left"/>
        <w:rPr>
          <w:rFonts w:hint="eastAsia"/>
        </w:rPr>
      </w:pPr>
    </w:p>
    <w:tbl>
      <w:tblPr>
        <w:tblStyle w:val="11"/>
        <w:tblW w:w="9781"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Look w:firstRow="0" w:lastRow="0" w:firstColumn="0" w:lastColumn="0" w:noHBand="1" w:noVBand="1" w:val="0600"/>
      </w:tblPr>
      <w:tblGrid>
        <w:gridCol w:w="1463"/>
        <w:gridCol w:w="1768"/>
        <w:gridCol w:w="4282"/>
        <w:gridCol w:w="2268"/>
      </w:tblGrid>
      <w:tr>
        <w:trPr>
          <w:trHeight w:val="336"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マーク</w:t>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名称</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表す意味など</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問い合わせ先等</w:t>
            </w:r>
          </w:p>
        </w:tc>
      </w:tr>
      <w:tr>
        <w:trPr>
          <w:trHeight w:val="3402"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drawing>
                <wp:anchor simplePos="0" relativeHeight="87" behindDoc="0" locked="0" layoutInCell="1" hidden="0" allowOverlap="1">
                  <wp:simplePos x="0" y="0"/>
                  <wp:positionH relativeFrom="column">
                    <wp:posOffset>-32385</wp:posOffset>
                  </wp:positionH>
                  <wp:positionV relativeFrom="page">
                    <wp:posOffset>551815</wp:posOffset>
                  </wp:positionV>
                  <wp:extent cx="883920" cy="1107440"/>
                  <wp:effectExtent l="0" t="0" r="0" b="0"/>
                  <wp:wrapNone/>
                  <wp:docPr id="1129" name="オブジェクト 0"/>
                  <a:graphic xmlns:a="http://schemas.openxmlformats.org/drawingml/2006/main">
                    <a:graphicData uri="http://schemas.openxmlformats.org/drawingml/2006/picture">
                      <pic:pic xmlns:pic="http://schemas.openxmlformats.org/drawingml/2006/picture">
                        <pic:nvPicPr>
                          <pic:cNvPr id="1129" name="オブジェクト 0"/>
                          <pic:cNvPicPr>
                            <a:picLocks noChangeAspect="1"/>
                          </pic:cNvPicPr>
                        </pic:nvPicPr>
                        <pic:blipFill>
                          <a:blip r:embed="rId66"/>
                          <a:stretch>
                            <a:fillRect/>
                          </a:stretch>
                        </pic:blipFill>
                        <pic:spPr>
                          <a:xfrm>
                            <a:off x="0" y="0"/>
                            <a:ext cx="883920" cy="1107440"/>
                          </a:xfrm>
                          <a:prstGeom prst="rect">
                            <a:avLst/>
                          </a:prstGeom>
                          <a:noFill/>
                          <a:ln>
                            <a:miter/>
                          </a:ln>
                        </pic:spPr>
                      </pic:pic>
                    </a:graphicData>
                  </a:graphic>
                </wp:anchor>
              </w:drawing>
            </w:r>
            <w:r>
              <w:rPr>
                <w:rFonts w:hint="eastAsia"/>
              </w:rPr>
              <w:t>　</w:t>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ろう者</w:t>
            </w:r>
            <w:r>
              <w:rPr>
                <w:rFonts w:hint="eastAsia"/>
                <w:spacing w:val="-4"/>
                <w:kern w:val="0"/>
                <w:vertAlign w:val="superscript"/>
              </w:rPr>
              <w:t>＊</w:t>
            </w:r>
            <w:r>
              <w:rPr>
                <w:rFonts w:hint="eastAsia"/>
              </w:rPr>
              <w:t>のマスコットマーク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46" w:leftChars="19" w:right="5" w:rightChars="2" w:firstLine="240" w:firstLineChars="100"/>
              <w:rPr>
                <w:rFonts w:hint="eastAsia"/>
              </w:rPr>
            </w:pPr>
            <w:r>
              <w:rPr>
                <w:rFonts w:hint="eastAsia"/>
              </w:rPr>
              <w:t>たつの落し子は耳を型どっており、愛嬌があり、全国のろう</w:t>
            </w:r>
            <w:r>
              <w:rPr>
                <w:rFonts w:hint="default" w:ascii="ＭＳ 明朝" w:hAnsi="ＭＳ 明朝"/>
              </w:rPr>
              <w:t>者</w:t>
            </w:r>
            <w:r>
              <w:rPr>
                <w:rFonts w:hint="eastAsia"/>
              </w:rPr>
              <w:t>（聴覚に障害のある人）のマスコットとされています。</w:t>
            </w:r>
          </w:p>
          <w:p>
            <w:pPr>
              <w:pStyle w:val="0"/>
              <w:ind w:left="41" w:leftChars="17" w:right="5" w:rightChars="2" w:firstLine="240" w:firstLineChars="100"/>
              <w:rPr>
                <w:rFonts w:hint="eastAsia"/>
                <w:kern w:val="0"/>
              </w:rPr>
            </w:pPr>
            <w:r>
              <w:rPr>
                <w:rFonts w:hint="eastAsia"/>
                <w:kern w:val="0"/>
              </w:rPr>
              <w:t>３月３日「耳の日」にちなんだ「３」の数字、ろう</w:t>
            </w:r>
            <w:r>
              <w:rPr>
                <w:rFonts w:hint="default" w:ascii="ＭＳ 明朝" w:hAnsi="ＭＳ 明朝"/>
              </w:rPr>
              <w:t>者</w:t>
            </w:r>
            <w:r>
              <w:rPr>
                <w:rFonts w:hint="eastAsia"/>
                <w:kern w:val="0"/>
              </w:rPr>
              <w:t>の「ろ」の字、耳のかたちを総合して、単純な表現で</w:t>
            </w:r>
            <w:r>
              <w:rPr>
                <w:rFonts w:hint="default" w:ascii="ＭＳ 明朝" w:hAnsi="ＭＳ 明朝"/>
                <w:kern w:val="0"/>
              </w:rPr>
              <w:t>見</w:t>
            </w:r>
            <w:r>
              <w:rPr>
                <w:rFonts w:hint="eastAsia"/>
                <w:kern w:val="0"/>
              </w:rPr>
              <w:t>やすいものです。</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5" w:leftChars="2" w:right="5" w:rightChars="2"/>
              <w:rPr>
                <w:rFonts w:hint="eastAsia"/>
              </w:rPr>
            </w:pPr>
            <w:r>
              <w:rPr>
                <w:rFonts w:hint="default" w:ascii="ＭＳ 明朝" w:hAnsi="ＭＳ 明朝"/>
              </w:rPr>
              <w:t>一般</w:t>
            </w:r>
            <w:r>
              <w:rPr>
                <w:rFonts w:hint="eastAsia"/>
              </w:rPr>
              <w:t>財団法人</w:t>
            </w:r>
          </w:p>
          <w:p>
            <w:pPr>
              <w:pStyle w:val="0"/>
              <w:ind w:left="5" w:leftChars="2" w:right="5" w:rightChars="2"/>
              <w:rPr>
                <w:rFonts w:hint="eastAsia"/>
              </w:rPr>
            </w:pPr>
            <w:r>
              <w:rPr>
                <w:rFonts w:hint="eastAsia"/>
              </w:rPr>
              <w:t>全日本ろうあ連盟</w:t>
            </w:r>
          </w:p>
          <w:p>
            <w:pPr>
              <w:pStyle w:val="0"/>
              <w:ind w:left="5" w:leftChars="2" w:right="5" w:rightChars="2"/>
              <w:rPr>
                <w:rFonts w:hint="eastAsia"/>
              </w:rPr>
            </w:pPr>
            <w:r>
              <w:rPr>
                <w:rFonts w:hint="default"/>
              </w:rPr>
              <w:t>TEL</w:t>
            </w:r>
            <w:r>
              <w:rPr>
                <w:rFonts w:hint="eastAsia"/>
              </w:rPr>
              <w:t>:</w:t>
            </w:r>
            <w:r>
              <w:rPr>
                <w:rFonts w:hint="default"/>
              </w:rPr>
              <w:t>03-3268-8847</w:t>
            </w:r>
          </w:p>
          <w:p>
            <w:pPr>
              <w:pStyle w:val="0"/>
              <w:ind w:left="5" w:leftChars="2" w:right="5" w:rightChars="2"/>
              <w:rPr>
                <w:rFonts w:hint="eastAsia"/>
              </w:rPr>
            </w:pPr>
            <w:r>
              <w:rPr>
                <w:rFonts w:hint="default"/>
              </w:rPr>
              <w:t>FAX</w:t>
            </w:r>
            <w:r>
              <w:rPr>
                <w:rFonts w:hint="eastAsia"/>
              </w:rPr>
              <w:t>:</w:t>
            </w:r>
            <w:r>
              <w:rPr>
                <w:rFonts w:hint="default"/>
              </w:rPr>
              <w:t>03-3267-3445</w:t>
            </w:r>
          </w:p>
        </w:tc>
      </w:tr>
      <w:tr>
        <w:trPr>
          <w:trHeight w:val="3402"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drawing>
                <wp:anchor simplePos="0" relativeHeight="88" behindDoc="0" locked="0" layoutInCell="1" hidden="0" allowOverlap="1">
                  <wp:simplePos x="0" y="0"/>
                  <wp:positionH relativeFrom="column">
                    <wp:posOffset>-15875</wp:posOffset>
                  </wp:positionH>
                  <wp:positionV relativeFrom="page">
                    <wp:posOffset>883920</wp:posOffset>
                  </wp:positionV>
                  <wp:extent cx="823595" cy="572770"/>
                  <wp:effectExtent l="0" t="0" r="0" b="0"/>
                  <wp:wrapNone/>
                  <wp:docPr id="1130" name="オブジェクト 0"/>
                  <a:graphic xmlns:a="http://schemas.openxmlformats.org/drawingml/2006/main">
                    <a:graphicData uri="http://schemas.openxmlformats.org/drawingml/2006/picture">
                      <pic:pic xmlns:pic="http://schemas.openxmlformats.org/drawingml/2006/picture">
                        <pic:nvPicPr>
                          <pic:cNvPr id="1130" name="オブジェクト 0"/>
                          <pic:cNvPicPr>
                            <a:picLocks noChangeAspect="1"/>
                          </pic:cNvPicPr>
                        </pic:nvPicPr>
                        <pic:blipFill>
                          <a:blip r:embed="rId67"/>
                          <a:stretch>
                            <a:fillRect/>
                          </a:stretch>
                        </pic:blipFill>
                        <pic:spPr>
                          <a:xfrm>
                            <a:off x="0" y="0"/>
                            <a:ext cx="823595" cy="572770"/>
                          </a:xfrm>
                          <a:prstGeom prst="rect">
                            <a:avLst/>
                          </a:prstGeom>
                          <a:noFill/>
                          <a:ln>
                            <a:miter/>
                          </a:ln>
                        </pic:spPr>
                      </pic:pic>
                    </a:graphicData>
                  </a:graphic>
                </wp:anchor>
              </w:drawing>
            </w:r>
            <w:r>
              <w:rPr>
                <w:rFonts w:hint="eastAsia"/>
              </w:rPr>
              <w:t>　</w:t>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手話</w:t>
            </w:r>
            <w:r>
              <w:rPr>
                <w:rFonts w:hint="eastAsia"/>
                <w:color w:val="000000" w:themeColor="text1"/>
                <w:spacing w:val="-4"/>
                <w:kern w:val="0"/>
                <w:vertAlign w:val="superscript"/>
              </w:rPr>
              <w:t>＊</w:t>
            </w:r>
            <w:r>
              <w:rPr>
                <w:rFonts w:hint="eastAsia"/>
              </w:rPr>
              <w:t>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46" w:leftChars="19" w:right="5" w:rightChars="2" w:firstLine="240" w:firstLineChars="100"/>
              <w:rPr>
                <w:rFonts w:hint="eastAsia"/>
              </w:rPr>
            </w:pPr>
            <w:r>
              <w:rPr>
                <w:rFonts w:hint="eastAsia"/>
              </w:rPr>
              <w:t>５本指で「手話」を表す形を採用し、輪っかで手の動きを表現しました。</w:t>
            </w:r>
          </w:p>
          <w:p>
            <w:pPr>
              <w:pStyle w:val="0"/>
              <w:ind w:right="5" w:rightChars="2"/>
              <w:rPr>
                <w:rFonts w:hint="eastAsia"/>
              </w:rPr>
            </w:pPr>
            <w:r>
              <w:rPr>
                <w:rFonts w:hint="eastAsia"/>
              </w:rPr>
              <w:t>【対象】</w:t>
            </w:r>
          </w:p>
          <w:p>
            <w:pPr>
              <w:pStyle w:val="0"/>
              <w:ind w:right="5" w:rightChars="2"/>
              <w:rPr>
                <w:rFonts w:hint="eastAsia"/>
              </w:rPr>
            </w:pPr>
            <w:r>
              <w:rPr>
                <w:rFonts w:hint="eastAsia"/>
              </w:rPr>
              <w:t>ろう者</w:t>
            </w:r>
            <w:r>
              <w:rPr>
                <w:rFonts w:hint="eastAsia"/>
                <w:spacing w:val="-4"/>
                <w:kern w:val="0"/>
                <w:vertAlign w:val="superscript"/>
              </w:rPr>
              <w:t>＊</w:t>
            </w:r>
            <w:r>
              <w:rPr>
                <w:rFonts w:hint="eastAsia"/>
              </w:rPr>
              <w:t>等、手話を必要としている人</w:t>
            </w:r>
          </w:p>
          <w:p>
            <w:pPr>
              <w:pStyle w:val="0"/>
              <w:ind w:right="5" w:rightChars="2"/>
              <w:rPr>
                <w:rFonts w:hint="eastAsia"/>
              </w:rPr>
            </w:pPr>
            <w:r>
              <w:rPr>
                <w:rFonts w:hint="eastAsia"/>
              </w:rPr>
              <w:t>【意味】</w:t>
            </w:r>
          </w:p>
          <w:p>
            <w:pPr>
              <w:pStyle w:val="0"/>
              <w:ind w:left="46" w:leftChars="19" w:right="5" w:rightChars="2"/>
              <w:rPr>
                <w:rFonts w:hint="eastAsia"/>
              </w:rPr>
            </w:pPr>
            <w:r>
              <w:rPr>
                <w:rFonts w:hint="eastAsia"/>
              </w:rPr>
              <w:t>ろう者等から提示⇒「手話で対応をお願いします」</w:t>
            </w:r>
            <w:r>
              <w:rPr>
                <w:rFonts w:hint="eastAsia"/>
              </w:rPr>
              <w:t xml:space="preserve"> </w:t>
            </w:r>
          </w:p>
          <w:p>
            <w:pPr>
              <w:pStyle w:val="0"/>
              <w:ind w:left="46" w:leftChars="19" w:right="5" w:rightChars="2"/>
              <w:rPr>
                <w:rFonts w:hint="eastAsia"/>
                <w:kern w:val="0"/>
              </w:rPr>
            </w:pPr>
            <w:r>
              <w:rPr>
                <w:rFonts w:hint="eastAsia"/>
              </w:rPr>
              <w:t>窓口等で掲示⇒「手話で対応します」、「手話でコミュニケーションできる人がいます」等</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5" w:leftChars="2" w:right="5" w:rightChars="2"/>
              <w:rPr>
                <w:rFonts w:hint="eastAsia"/>
              </w:rPr>
            </w:pPr>
            <w:r>
              <w:rPr>
                <w:rFonts w:hint="default" w:ascii="ＭＳ 明朝" w:hAnsi="ＭＳ 明朝"/>
              </w:rPr>
              <w:t>一般</w:t>
            </w:r>
            <w:r>
              <w:rPr>
                <w:rFonts w:hint="eastAsia"/>
              </w:rPr>
              <w:t>財団法人</w:t>
            </w:r>
          </w:p>
          <w:p>
            <w:pPr>
              <w:pStyle w:val="0"/>
              <w:ind w:left="5" w:leftChars="2" w:right="5" w:rightChars="2"/>
              <w:rPr>
                <w:rFonts w:hint="eastAsia"/>
              </w:rPr>
            </w:pPr>
            <w:r>
              <w:rPr>
                <w:rFonts w:hint="eastAsia"/>
              </w:rPr>
              <w:t>全日本ろうあ連盟</w:t>
            </w:r>
          </w:p>
          <w:p>
            <w:pPr>
              <w:pStyle w:val="0"/>
              <w:ind w:left="5" w:leftChars="2" w:right="5" w:rightChars="2"/>
              <w:rPr>
                <w:rFonts w:hint="eastAsia"/>
              </w:rPr>
            </w:pPr>
            <w:r>
              <w:rPr>
                <w:rFonts w:hint="default"/>
              </w:rPr>
              <w:t>TEL</w:t>
            </w:r>
            <w:r>
              <w:rPr>
                <w:rFonts w:hint="eastAsia"/>
              </w:rPr>
              <w:t>:</w:t>
            </w:r>
            <w:r>
              <w:rPr>
                <w:rFonts w:hint="default"/>
              </w:rPr>
              <w:t>03-3268-8847</w:t>
            </w:r>
          </w:p>
          <w:p>
            <w:pPr>
              <w:pStyle w:val="0"/>
              <w:ind w:left="5" w:leftChars="2" w:right="5" w:rightChars="2"/>
              <w:rPr>
                <w:rFonts w:hint="eastAsia"/>
              </w:rPr>
            </w:pPr>
            <w:r>
              <w:rPr>
                <w:rFonts w:hint="default"/>
              </w:rPr>
              <w:t>FAX</w:t>
            </w:r>
            <w:r>
              <w:rPr>
                <w:rFonts w:hint="eastAsia"/>
              </w:rPr>
              <w:t>:</w:t>
            </w:r>
            <w:r>
              <w:rPr>
                <w:rFonts w:hint="default"/>
              </w:rPr>
              <w:t>03-3267-3445</w:t>
            </w:r>
          </w:p>
        </w:tc>
      </w:tr>
      <w:tr>
        <w:trPr>
          <w:trHeight w:val="3402"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drawing>
                <wp:anchor simplePos="0" relativeHeight="89" behindDoc="0" locked="0" layoutInCell="0" hidden="0" allowOverlap="1">
                  <wp:simplePos x="0" y="0"/>
                  <wp:positionH relativeFrom="column">
                    <wp:posOffset>62865</wp:posOffset>
                  </wp:positionH>
                  <wp:positionV relativeFrom="page">
                    <wp:posOffset>6650990</wp:posOffset>
                  </wp:positionV>
                  <wp:extent cx="813435" cy="586105"/>
                  <wp:effectExtent l="0" t="0" r="0" b="0"/>
                  <wp:wrapNone/>
                  <wp:docPr id="1131" name="オブジェクト 0"/>
                  <a:graphic xmlns:a="http://schemas.openxmlformats.org/drawingml/2006/main">
                    <a:graphicData uri="http://schemas.openxmlformats.org/drawingml/2006/picture">
                      <pic:pic xmlns:pic="http://schemas.openxmlformats.org/drawingml/2006/picture">
                        <pic:nvPicPr>
                          <pic:cNvPr id="1131" name="オブジェクト 0"/>
                          <pic:cNvPicPr>
                            <a:picLocks noChangeAspect="1"/>
                          </pic:cNvPicPr>
                        </pic:nvPicPr>
                        <pic:blipFill>
                          <a:blip r:embed="rId68"/>
                          <a:srcRect l="59956" t="50389" r="17351" b="20441"/>
                          <a:stretch>
                            <a:fillRect/>
                          </a:stretch>
                        </pic:blipFill>
                        <pic:spPr>
                          <a:xfrm>
                            <a:off x="0" y="0"/>
                            <a:ext cx="813435" cy="586105"/>
                          </a:xfrm>
                          <a:prstGeom prst="rect">
                            <a:avLst/>
                          </a:prstGeom>
                          <a:noFill/>
                          <a:ln>
                            <a:miter/>
                          </a:ln>
                        </pic:spPr>
                      </pic:pic>
                    </a:graphicData>
                  </a:graphic>
                </wp:anchor>
              </w:drawing>
            </w:r>
            <w:r>
              <w:rPr>
                <w:rFonts w:hint="eastAsia"/>
              </w:rPr>
              <w:drawing>
                <wp:anchor simplePos="0" relativeHeight="98" behindDoc="0" locked="0" layoutInCell="1" hidden="0" allowOverlap="1">
                  <wp:simplePos x="0" y="0"/>
                  <wp:positionH relativeFrom="column">
                    <wp:posOffset>-13970</wp:posOffset>
                  </wp:positionH>
                  <wp:positionV relativeFrom="page">
                    <wp:posOffset>917575</wp:posOffset>
                  </wp:positionV>
                  <wp:extent cx="813435" cy="586105"/>
                  <wp:effectExtent l="0" t="0" r="0" b="0"/>
                  <wp:wrapNone/>
                  <wp:docPr id="1132" name="オブジェクト 0"/>
                  <a:graphic xmlns:a="http://schemas.openxmlformats.org/drawingml/2006/main">
                    <a:graphicData uri="http://schemas.openxmlformats.org/drawingml/2006/picture">
                      <pic:pic xmlns:pic="http://schemas.openxmlformats.org/drawingml/2006/picture">
                        <pic:nvPicPr>
                          <pic:cNvPr id="1132" name="オブジェクト 0"/>
                          <pic:cNvPicPr>
                            <a:picLocks noChangeAspect="1"/>
                          </pic:cNvPicPr>
                        </pic:nvPicPr>
                        <pic:blipFill>
                          <a:blip r:embed="rId68"/>
                          <a:srcRect l="59956" t="50389" r="17351" b="20441"/>
                          <a:stretch>
                            <a:fillRect/>
                          </a:stretch>
                        </pic:blipFill>
                        <pic:spPr>
                          <a:xfrm>
                            <a:off x="0" y="0"/>
                            <a:ext cx="813435" cy="586105"/>
                          </a:xfrm>
                          <a:prstGeom prst="rect">
                            <a:avLst/>
                          </a:prstGeom>
                          <a:noFill/>
                          <a:ln>
                            <a:miter/>
                          </a:ln>
                        </pic:spPr>
                      </pic:pic>
                    </a:graphicData>
                  </a:graphic>
                </wp:anchor>
              </w:drawing>
            </w:r>
            <w:r>
              <w:rPr>
                <w:rFonts w:hint="eastAsia"/>
              </w:rPr>
              <w:t>　</w:t>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筆談マーク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46" w:leftChars="19" w:right="5" w:rightChars="2" w:firstLine="240" w:firstLineChars="100"/>
              <w:rPr>
                <w:rFonts w:hint="eastAsia"/>
              </w:rPr>
            </w:pPr>
            <w:r>
              <w:rPr>
                <w:rFonts w:hint="eastAsia"/>
              </w:rPr>
              <w:t>相互に紙に書くことによるコミュニケーションを表現しました。</w:t>
            </w:r>
            <w:r>
              <w:rPr>
                <w:rFonts w:hint="eastAsia"/>
              </w:rPr>
              <w:t xml:space="preserve"> </w:t>
            </w:r>
          </w:p>
          <w:p>
            <w:pPr>
              <w:pStyle w:val="0"/>
              <w:ind w:right="5" w:rightChars="2"/>
              <w:rPr>
                <w:rFonts w:hint="eastAsia"/>
              </w:rPr>
            </w:pPr>
            <w:r>
              <w:rPr>
                <w:rFonts w:hint="eastAsia"/>
              </w:rPr>
              <w:t>【対象者】</w:t>
            </w:r>
          </w:p>
          <w:p>
            <w:pPr>
              <w:pStyle w:val="0"/>
              <w:ind w:right="5" w:rightChars="2"/>
              <w:rPr>
                <w:rFonts w:hint="eastAsia"/>
              </w:rPr>
            </w:pPr>
            <w:r>
              <w:rPr>
                <w:rFonts w:hint="eastAsia"/>
              </w:rPr>
              <w:t>筆談を必要としている人</w:t>
            </w:r>
            <w:r>
              <w:rPr>
                <w:rFonts w:hint="eastAsia"/>
              </w:rPr>
              <w:t xml:space="preserve"> </w:t>
            </w:r>
            <w:r>
              <w:rPr>
                <w:rFonts w:hint="eastAsia"/>
              </w:rPr>
              <w:t>（ろう者</w:t>
            </w:r>
            <w:r>
              <w:rPr>
                <w:rFonts w:hint="eastAsia"/>
                <w:spacing w:val="-4"/>
                <w:kern w:val="0"/>
                <w:vertAlign w:val="superscript"/>
              </w:rPr>
              <w:t>＊</w:t>
            </w:r>
            <w:r>
              <w:rPr>
                <w:rFonts w:hint="eastAsia"/>
              </w:rPr>
              <w:t>等、音声言語障害のある人、知的障害のある人、外国人なども含みます。）</w:t>
            </w:r>
          </w:p>
          <w:p>
            <w:pPr>
              <w:pStyle w:val="0"/>
              <w:ind w:right="5" w:rightChars="2"/>
              <w:rPr>
                <w:rFonts w:hint="eastAsia"/>
              </w:rPr>
            </w:pPr>
            <w:r>
              <w:rPr>
                <w:rFonts w:hint="eastAsia"/>
              </w:rPr>
              <w:t>【意味】</w:t>
            </w:r>
          </w:p>
          <w:p>
            <w:pPr>
              <w:pStyle w:val="0"/>
              <w:ind w:left="46" w:leftChars="19" w:right="5" w:rightChars="2"/>
              <w:rPr>
                <w:rFonts w:hint="eastAsia"/>
              </w:rPr>
            </w:pPr>
            <w:r>
              <w:rPr>
                <w:rFonts w:hint="eastAsia"/>
              </w:rPr>
              <w:t>当事者から⇒「筆談で対応をお願いします」</w:t>
            </w:r>
            <w:r>
              <w:rPr>
                <w:rFonts w:hint="eastAsia"/>
              </w:rPr>
              <w:t xml:space="preserve"> </w:t>
            </w:r>
          </w:p>
          <w:p>
            <w:pPr>
              <w:pStyle w:val="0"/>
              <w:ind w:right="5" w:rightChars="2"/>
              <w:rPr>
                <w:rFonts w:hint="eastAsia"/>
                <w:kern w:val="0"/>
              </w:rPr>
            </w:pPr>
            <w:r>
              <w:rPr>
                <w:rFonts w:hint="eastAsia"/>
              </w:rPr>
              <w:t>窓口等で⇒「筆談で対応します」</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5" w:leftChars="2" w:right="5" w:rightChars="2"/>
              <w:rPr>
                <w:rFonts w:hint="eastAsia"/>
              </w:rPr>
            </w:pPr>
            <w:r>
              <w:rPr>
                <w:rFonts w:hint="default" w:ascii="ＭＳ 明朝" w:hAnsi="ＭＳ 明朝"/>
              </w:rPr>
              <w:t>一般</w:t>
            </w:r>
            <w:r>
              <w:rPr>
                <w:rFonts w:hint="eastAsia"/>
              </w:rPr>
              <w:t>財団法人</w:t>
            </w:r>
          </w:p>
          <w:p>
            <w:pPr>
              <w:pStyle w:val="0"/>
              <w:ind w:left="5" w:leftChars="2" w:right="5" w:rightChars="2"/>
              <w:rPr>
                <w:rFonts w:hint="eastAsia"/>
              </w:rPr>
            </w:pPr>
            <w:r>
              <w:rPr>
                <w:rFonts w:hint="eastAsia"/>
              </w:rPr>
              <w:t>全日本ろうあ連盟</w:t>
            </w:r>
          </w:p>
          <w:p>
            <w:pPr>
              <w:pStyle w:val="0"/>
              <w:ind w:left="5" w:leftChars="2" w:right="5" w:rightChars="2"/>
              <w:rPr>
                <w:rFonts w:hint="eastAsia"/>
              </w:rPr>
            </w:pPr>
            <w:r>
              <w:rPr>
                <w:rFonts w:hint="default"/>
              </w:rPr>
              <w:t>TEL</w:t>
            </w:r>
            <w:r>
              <w:rPr>
                <w:rFonts w:hint="eastAsia"/>
              </w:rPr>
              <w:t>:</w:t>
            </w:r>
            <w:r>
              <w:rPr>
                <w:rFonts w:hint="default"/>
              </w:rPr>
              <w:t>03-3268-8847</w:t>
            </w:r>
          </w:p>
          <w:p>
            <w:pPr>
              <w:pStyle w:val="0"/>
              <w:ind w:left="5" w:leftChars="2" w:right="5" w:rightChars="2"/>
              <w:rPr>
                <w:rFonts w:hint="eastAsia"/>
              </w:rPr>
            </w:pPr>
            <w:r>
              <w:rPr>
                <w:rFonts w:hint="default"/>
              </w:rPr>
              <w:t>FAX</w:t>
            </w:r>
            <w:r>
              <w:rPr>
                <w:rFonts w:hint="eastAsia"/>
              </w:rPr>
              <w:t>:</w:t>
            </w:r>
            <w:r>
              <w:rPr>
                <w:rFonts w:hint="default"/>
              </w:rPr>
              <w:t>03-3267-3445</w:t>
            </w:r>
          </w:p>
        </w:tc>
      </w:tr>
      <w:tr>
        <w:trPr>
          <w:trHeight w:val="130"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drawing>
                <wp:anchor simplePos="0" relativeHeight="90" behindDoc="0" locked="1" layoutInCell="1" hidden="0" allowOverlap="1">
                  <wp:simplePos x="0" y="0"/>
                  <wp:positionH relativeFrom="column">
                    <wp:posOffset>0</wp:posOffset>
                  </wp:positionH>
                  <wp:positionV relativeFrom="page">
                    <wp:posOffset>204470</wp:posOffset>
                  </wp:positionV>
                  <wp:extent cx="802005" cy="788035"/>
                  <wp:effectExtent l="0" t="0" r="0" b="0"/>
                  <wp:wrapNone/>
                  <wp:docPr id="1133" name="オブジェクト 0"/>
                  <a:graphic xmlns:a="http://schemas.openxmlformats.org/drawingml/2006/main">
                    <a:graphicData uri="http://schemas.openxmlformats.org/drawingml/2006/picture">
                      <pic:pic xmlns:pic="http://schemas.openxmlformats.org/drawingml/2006/picture">
                        <pic:nvPicPr>
                          <pic:cNvPr id="1133" name="オブジェクト 0"/>
                          <pic:cNvPicPr>
                            <a:picLocks noChangeAspect="1"/>
                          </pic:cNvPicPr>
                        </pic:nvPicPr>
                        <pic:blipFill>
                          <a:blip r:embed="rId69"/>
                          <a:stretch>
                            <a:fillRect/>
                          </a:stretch>
                        </pic:blipFill>
                        <pic:spPr>
                          <a:xfrm>
                            <a:off x="0" y="0"/>
                            <a:ext cx="802005" cy="788035"/>
                          </a:xfrm>
                          <a:prstGeom prst="rect">
                            <a:avLst/>
                          </a:prstGeom>
                          <a:noFill/>
                          <a:ln>
                            <a:miter/>
                          </a:ln>
                        </pic:spPr>
                      </pic:pic>
                    </a:graphicData>
                  </a:graphic>
                </wp:anchor>
              </w:drawing>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障害者雇用支援マーク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46" w:leftChars="19" w:right="5" w:rightChars="2" w:firstLine="240" w:firstLineChars="100"/>
              <w:rPr>
                <w:rFonts w:hint="eastAsia"/>
              </w:rPr>
            </w:pPr>
            <w:r>
              <w:rPr>
                <w:rFonts w:hint="eastAsia"/>
              </w:rPr>
              <w:t>公益財団法人ソーシャルサービス協会が障害のある人の在宅障害者就労支援並びに障害者就労支援を認めた企業、団体に対して付与する認証マークです。</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5" w:leftChars="2" w:right="5" w:rightChars="2"/>
              <w:rPr>
                <w:rFonts w:hint="eastAsia"/>
              </w:rPr>
            </w:pPr>
            <w:r>
              <w:rPr>
                <w:rFonts w:hint="eastAsia"/>
              </w:rPr>
              <w:t>公益財団法人ソーシャルサービス協会</w:t>
            </w:r>
            <w:r>
              <w:rPr>
                <w:rFonts w:hint="eastAsia"/>
              </w:rPr>
              <w:t>IT</w:t>
            </w:r>
            <w:r>
              <w:rPr>
                <w:rFonts w:hint="eastAsia"/>
              </w:rPr>
              <w:t>センター</w:t>
            </w:r>
          </w:p>
          <w:p>
            <w:pPr>
              <w:pStyle w:val="0"/>
              <w:ind w:left="5" w:leftChars="2" w:right="5" w:rightChars="2"/>
              <w:rPr>
                <w:rFonts w:hint="default"/>
              </w:rPr>
            </w:pPr>
            <w:r>
              <w:rPr>
                <w:rFonts w:hint="default"/>
              </w:rPr>
              <w:t>TEL:052-218-2154</w:t>
            </w:r>
          </w:p>
          <w:p>
            <w:pPr>
              <w:pStyle w:val="0"/>
              <w:ind w:left="5" w:leftChars="2" w:right="5" w:rightChars="2"/>
              <w:rPr>
                <w:rFonts w:hint="default"/>
              </w:rPr>
            </w:pPr>
            <w:r>
              <w:rPr>
                <w:rFonts w:hint="default"/>
              </w:rPr>
              <w:t>FAX:052-218-2155</w:t>
            </w:r>
          </w:p>
        </w:tc>
      </w:tr>
    </w:tbl>
    <w:p>
      <w:pPr>
        <w:pStyle w:val="0"/>
        <w:jc w:val="left"/>
        <w:rPr>
          <w:rFonts w:hint="default"/>
        </w:rPr>
      </w:pPr>
    </w:p>
    <w:p>
      <w:pPr>
        <w:pStyle w:val="0"/>
        <w:jc w:val="left"/>
        <w:rPr>
          <w:rFonts w:hint="default"/>
        </w:rPr>
      </w:pPr>
      <w:r>
        <w:rPr>
          <w:rFonts w:hint="default"/>
          <w:color w:val="auto"/>
        </w:rPr>
        <w:br w:type="page"/>
      </w:r>
    </w:p>
    <w:tbl>
      <w:tblPr>
        <w:tblStyle w:val="11"/>
        <w:tblW w:w="9781"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Look w:firstRow="0" w:lastRow="0" w:firstColumn="0" w:lastColumn="0" w:noHBand="1" w:noVBand="1" w:val="0600"/>
      </w:tblPr>
      <w:tblGrid>
        <w:gridCol w:w="1463"/>
        <w:gridCol w:w="1768"/>
        <w:gridCol w:w="4282"/>
        <w:gridCol w:w="2268"/>
      </w:tblGrid>
      <w:tr>
        <w:trPr>
          <w:trHeight w:val="336"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マーク</w:t>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名称</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表す意味など</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問い合わせ先等</w:t>
            </w:r>
          </w:p>
        </w:tc>
      </w:tr>
      <w:tr>
        <w:trPr>
          <w:trHeight w:val="4554"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default"/>
              </w:rPr>
            </w:pPr>
            <w:r>
              <w:rPr>
                <w:rFonts w:hint="eastAsia"/>
              </w:rPr>
              <w:drawing>
                <wp:anchor simplePos="0" relativeHeight="91" behindDoc="0" locked="0" layoutInCell="1" hidden="0" allowOverlap="1">
                  <wp:simplePos x="0" y="0"/>
                  <wp:positionH relativeFrom="column">
                    <wp:posOffset>-20955</wp:posOffset>
                  </wp:positionH>
                  <wp:positionV relativeFrom="page">
                    <wp:posOffset>884555</wp:posOffset>
                  </wp:positionV>
                  <wp:extent cx="883920" cy="934085"/>
                  <wp:effectExtent l="0" t="0" r="0" b="0"/>
                  <wp:wrapNone/>
                  <wp:docPr id="1134" name="オブジェクト 0"/>
                  <a:graphic xmlns:a="http://schemas.openxmlformats.org/drawingml/2006/main">
                    <a:graphicData uri="http://schemas.openxmlformats.org/drawingml/2006/picture">
                      <pic:pic xmlns:pic="http://schemas.openxmlformats.org/drawingml/2006/picture">
                        <pic:nvPicPr>
                          <pic:cNvPr id="1134" name="オブジェクト 0"/>
                          <pic:cNvPicPr>
                            <a:picLocks noChangeAspect="1"/>
                          </pic:cNvPicPr>
                        </pic:nvPicPr>
                        <pic:blipFill>
                          <a:blip r:embed="rId70"/>
                          <a:stretch>
                            <a:fillRect/>
                          </a:stretch>
                        </pic:blipFill>
                        <pic:spPr>
                          <a:xfrm>
                            <a:off x="0" y="0"/>
                            <a:ext cx="883920" cy="934085"/>
                          </a:xfrm>
                          <a:prstGeom prst="rect">
                            <a:avLst/>
                          </a:prstGeom>
                          <a:noFill/>
                          <a:ln>
                            <a:miter/>
                          </a:ln>
                        </pic:spPr>
                      </pic:pic>
                    </a:graphicData>
                  </a:graphic>
                </wp:anchor>
              </w:drawing>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オストメイトマーク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240" w:firstLineChars="100"/>
              <w:rPr>
                <w:rFonts w:hint="eastAsia"/>
              </w:rPr>
            </w:pPr>
            <w:r>
              <w:rPr>
                <w:rFonts w:hint="eastAsia"/>
              </w:rPr>
              <w:t>オストメイトとは、人工肛門保有者、人工膀胱保有者を言います。このため、トイレには、オストメイトが排泄物の処理、皮膚の清拭・洗浄などができる設備が必要であり、かつ、外見上は身体障害のある人であることが判別しにくいオストメイトが身障者トイレや多機能トイレへ</w:t>
            </w:r>
            <w:r>
              <w:rPr>
                <w:rFonts w:hint="default" w:ascii="ＭＳ 明朝" w:hAnsi="ＭＳ 明朝"/>
              </w:rPr>
              <w:t>入りやすく</w:t>
            </w:r>
            <w:r>
              <w:rPr>
                <w:rFonts w:hint="eastAsia"/>
              </w:rPr>
              <w:t>するために、トイレの入口に表示されることが必要です。</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default" w:ascii="ＭＳ 明朝" w:hAnsi="ＭＳ 明朝"/>
              </w:rPr>
              <w:t>公益</w:t>
            </w:r>
            <w:r>
              <w:rPr>
                <w:rFonts w:hint="eastAsia"/>
              </w:rPr>
              <w:t>社団法人日本オストミー協会</w:t>
            </w:r>
          </w:p>
          <w:p>
            <w:pPr>
              <w:pStyle w:val="0"/>
              <w:rPr>
                <w:rFonts w:hint="eastAsia"/>
              </w:rPr>
            </w:pPr>
            <w:r>
              <w:rPr>
                <w:rFonts w:hint="default"/>
              </w:rPr>
              <w:t>TEL</w:t>
            </w:r>
            <w:r>
              <w:rPr>
                <w:rFonts w:hint="eastAsia"/>
              </w:rPr>
              <w:t>：</w:t>
            </w:r>
            <w:r>
              <w:rPr>
                <w:rFonts w:hint="default"/>
              </w:rPr>
              <w:t>03-5670-7681</w:t>
            </w:r>
            <w:r>
              <w:rPr>
                <w:rFonts w:hint="eastAsia"/>
              </w:rPr>
              <w:br w:type="textWrapping" w:clear="none"/>
            </w:r>
            <w:r>
              <w:rPr>
                <w:rFonts w:hint="default"/>
              </w:rPr>
              <w:t>FAX</w:t>
            </w:r>
            <w:r>
              <w:rPr>
                <w:rFonts w:hint="eastAsia"/>
              </w:rPr>
              <w:t>：</w:t>
            </w:r>
            <w:r>
              <w:rPr>
                <w:rFonts w:hint="default"/>
              </w:rPr>
              <w:t>03-5670-7682</w:t>
            </w:r>
          </w:p>
        </w:tc>
      </w:tr>
      <w:tr>
        <w:trPr>
          <w:trHeight w:val="3435"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default"/>
              </w:rPr>
            </w:pPr>
            <w:r>
              <w:rPr>
                <w:rFonts w:hint="eastAsia"/>
              </w:rPr>
              <w:drawing>
                <wp:anchor simplePos="0" relativeHeight="92" behindDoc="0" locked="0" layoutInCell="1" hidden="0" allowOverlap="1">
                  <wp:simplePos x="0" y="0"/>
                  <wp:positionH relativeFrom="column">
                    <wp:posOffset>-48260</wp:posOffset>
                  </wp:positionH>
                  <wp:positionV relativeFrom="page">
                    <wp:posOffset>669290</wp:posOffset>
                  </wp:positionV>
                  <wp:extent cx="883920" cy="843915"/>
                  <wp:effectExtent l="0" t="0" r="0" b="0"/>
                  <wp:wrapNone/>
                  <wp:docPr id="1135" name="オブジェクト 0"/>
                  <a:graphic xmlns:a="http://schemas.openxmlformats.org/drawingml/2006/main">
                    <a:graphicData uri="http://schemas.openxmlformats.org/drawingml/2006/picture">
                      <pic:pic xmlns:pic="http://schemas.openxmlformats.org/drawingml/2006/picture">
                        <pic:nvPicPr>
                          <pic:cNvPr id="1135" name="オブジェクト 0"/>
                          <pic:cNvPicPr>
                            <a:picLocks noChangeAspect="1"/>
                          </pic:cNvPicPr>
                        </pic:nvPicPr>
                        <pic:blipFill>
                          <a:blip r:embed="rId71"/>
                          <a:stretch>
                            <a:fillRect/>
                          </a:stretch>
                        </pic:blipFill>
                        <pic:spPr>
                          <a:xfrm>
                            <a:off x="0" y="0"/>
                            <a:ext cx="883920" cy="843915"/>
                          </a:xfrm>
                          <a:prstGeom prst="rect">
                            <a:avLst/>
                          </a:prstGeom>
                          <a:noFill/>
                          <a:ln>
                            <a:miter/>
                          </a:ln>
                        </pic:spPr>
                      </pic:pic>
                    </a:graphicData>
                  </a:graphic>
                </wp:anchor>
              </w:drawing>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ハート・プラスマーク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　「身体内部に障害のある人」を表現しています。身体内部を意味する「ハートマーク」に、思いやりの心を「プラス」。身体内部に障害（心臓機能障害など）のある人は、外見からは分かりにくいため、様々な誤解を受けることがあります。</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default"/>
              </w:rPr>
              <w:t>NPO</w:t>
            </w:r>
            <w:r>
              <w:rPr>
                <w:rFonts w:hint="default" w:ascii="ＭＳ 明朝" w:hAnsi="ＭＳ 明朝"/>
              </w:rPr>
              <w:t>法人</w:t>
            </w:r>
            <w:r>
              <w:rPr>
                <w:rFonts w:hint="eastAsia"/>
              </w:rPr>
              <w:t>ハート・プラスの会</w:t>
            </w:r>
            <w:r>
              <w:rPr>
                <w:rFonts w:hint="eastAsia"/>
              </w:rPr>
              <w:br w:type="textWrapping" w:clear="none"/>
            </w:r>
            <w:r>
              <w:rPr>
                <w:rFonts w:hint="default"/>
              </w:rPr>
              <w:t>E-mail</w:t>
            </w:r>
            <w:r>
              <w:rPr>
                <w:rFonts w:hint="eastAsia"/>
              </w:rPr>
              <w:t>:</w:t>
            </w:r>
            <w:r>
              <w:rPr>
                <w:rFonts w:hint="default"/>
              </w:rPr>
              <w:t>info@heartplus</w:t>
            </w:r>
            <w:r>
              <w:rPr>
                <w:rFonts w:hint="eastAsia"/>
              </w:rPr>
              <w:t>.</w:t>
            </w:r>
            <w:r>
              <w:rPr>
                <w:rFonts w:hint="default"/>
              </w:rPr>
              <w:t>org</w:t>
            </w:r>
          </w:p>
          <w:p>
            <w:pPr>
              <w:pStyle w:val="0"/>
              <w:ind w:left="240" w:hanging="240" w:hangingChars="100"/>
              <w:rPr>
                <w:rFonts w:hint="eastAsia"/>
              </w:rPr>
            </w:pPr>
            <w:r>
              <w:rPr>
                <w:rFonts w:hint="eastAsia"/>
              </w:rPr>
              <w:t>※</w:t>
            </w:r>
            <w:r>
              <w:rPr>
                <w:rFonts w:hint="eastAsia"/>
                <w:w w:val="80"/>
              </w:rPr>
              <w:t>職員が常駐していないため、</w:t>
            </w:r>
            <w:r>
              <w:rPr>
                <w:rFonts w:hint="eastAsia"/>
                <w:w w:val="80"/>
              </w:rPr>
              <w:t>E-mail</w:t>
            </w:r>
            <w:r>
              <w:rPr>
                <w:rFonts w:hint="eastAsia"/>
                <w:w w:val="80"/>
              </w:rPr>
              <w:t>へご連絡ください。</w:t>
            </w:r>
          </w:p>
        </w:tc>
      </w:tr>
      <w:tr>
        <w:trPr>
          <w:trHeight w:val="5140"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default"/>
              </w:rPr>
            </w:pPr>
            <w:r>
              <w:rPr>
                <w:rFonts w:hint="eastAsia"/>
              </w:rPr>
              <w:drawing>
                <wp:anchor simplePos="0" relativeHeight="93" behindDoc="0" locked="1" layoutInCell="1" hidden="0" allowOverlap="1">
                  <wp:simplePos x="0" y="0"/>
                  <wp:positionH relativeFrom="column">
                    <wp:posOffset>-8255</wp:posOffset>
                  </wp:positionH>
                  <wp:positionV relativeFrom="page">
                    <wp:posOffset>1176655</wp:posOffset>
                  </wp:positionV>
                  <wp:extent cx="835025" cy="850900"/>
                  <wp:effectExtent l="0" t="0" r="0" b="0"/>
                  <wp:wrapNone/>
                  <wp:docPr id="1136" name="オブジェクト 0"/>
                  <a:graphic xmlns:a="http://schemas.openxmlformats.org/drawingml/2006/main">
                    <a:graphicData uri="http://schemas.openxmlformats.org/drawingml/2006/picture">
                      <pic:pic xmlns:pic="http://schemas.openxmlformats.org/drawingml/2006/picture">
                        <pic:nvPicPr>
                          <pic:cNvPr id="1136" name="オブジェクト 0"/>
                          <pic:cNvPicPr>
                            <a:picLocks noChangeAspect="1"/>
                          </pic:cNvPicPr>
                        </pic:nvPicPr>
                        <pic:blipFill>
                          <a:blip r:embed="rId72"/>
                          <a:stretch>
                            <a:fillRect/>
                          </a:stretch>
                        </pic:blipFill>
                        <pic:spPr>
                          <a:xfrm>
                            <a:off x="0" y="0"/>
                            <a:ext cx="835025" cy="850900"/>
                          </a:xfrm>
                          <a:prstGeom prst="rect">
                            <a:avLst/>
                          </a:prstGeom>
                          <a:noFill/>
                          <a:ln>
                            <a:miter/>
                          </a:ln>
                        </pic:spPr>
                      </pic:pic>
                    </a:graphicData>
                  </a:graphic>
                </wp:anchor>
              </w:drawing>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ほじょ犬マーク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　身体障害者補助犬</w:t>
            </w:r>
            <w:r>
              <w:rPr>
                <w:rFonts w:hint="eastAsia"/>
                <w:spacing w:val="-4"/>
                <w:kern w:val="0"/>
                <w:vertAlign w:val="superscript"/>
              </w:rPr>
              <w:t>＊</w:t>
            </w:r>
            <w:r>
              <w:rPr>
                <w:rFonts w:hint="eastAsia"/>
              </w:rPr>
              <w:t>法の啓発のためのマークです。</w:t>
            </w:r>
          </w:p>
          <w:p>
            <w:pPr>
              <w:pStyle w:val="0"/>
              <w:rPr>
                <w:rFonts w:hint="eastAsia"/>
              </w:rPr>
            </w:pPr>
            <w:r>
              <w:rPr>
                <w:rFonts w:hint="eastAsia"/>
              </w:rPr>
              <w:t>　身体障害者補助犬とは、盲導犬</w:t>
            </w:r>
            <w:r>
              <w:rPr>
                <w:rFonts w:hint="eastAsia"/>
                <w:spacing w:val="-4"/>
                <w:kern w:val="0"/>
                <w:vertAlign w:val="superscript"/>
              </w:rPr>
              <w:t>＊</w:t>
            </w:r>
            <w:r>
              <w:rPr>
                <w:rFonts w:hint="eastAsia"/>
              </w:rPr>
              <w:t>、介助犬</w:t>
            </w:r>
            <w:r>
              <w:rPr>
                <w:rFonts w:hint="eastAsia"/>
                <w:color w:val="000000" w:themeColor="text1"/>
                <w:spacing w:val="-4"/>
                <w:kern w:val="0"/>
                <w:vertAlign w:val="superscript"/>
              </w:rPr>
              <w:t>＊</w:t>
            </w:r>
            <w:r>
              <w:rPr>
                <w:rFonts w:hint="eastAsia"/>
              </w:rPr>
              <w:t>、聴導犬</w:t>
            </w:r>
            <w:r>
              <w:rPr>
                <w:rFonts w:hint="eastAsia"/>
                <w:spacing w:val="-4"/>
                <w:kern w:val="0"/>
                <w:vertAlign w:val="superscript"/>
              </w:rPr>
              <w:t>＊</w:t>
            </w:r>
            <w:r>
              <w:rPr>
                <w:rFonts w:hint="eastAsia"/>
              </w:rPr>
              <w:t>のことを言います。「身体障害者補助犬法」では公共の施設や交通機関はもちろん、デパートやスーパー、ホテル、レストランなどの民間施設では、身体障害のある人が身体障害者補助犬を同伴するのを受け入れる義務があります。補助犬を同伴することのみをもってサービスの提供を拒むことは障害者差別に当たります。</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厚生労働省社会・援護局障害保健福祉部企画課自立支援振興室</w:t>
            </w:r>
          </w:p>
          <w:p>
            <w:pPr>
              <w:pStyle w:val="0"/>
              <w:rPr>
                <w:rFonts w:hint="eastAsia"/>
              </w:rPr>
            </w:pPr>
            <w:r>
              <w:rPr>
                <w:rFonts w:hint="eastAsia"/>
              </w:rPr>
              <w:t>TEL:03-5253-1111</w:t>
            </w:r>
          </w:p>
          <w:p>
            <w:pPr>
              <w:pStyle w:val="0"/>
              <w:rPr>
                <w:rFonts w:hint="eastAsia"/>
              </w:rPr>
            </w:pPr>
            <w:r>
              <w:rPr>
                <w:rFonts w:hint="default"/>
              </w:rPr>
              <w:t>FAX:03-3503-1237</w:t>
            </w:r>
          </w:p>
        </w:tc>
      </w:tr>
    </w:tbl>
    <w:p>
      <w:pPr>
        <w:pStyle w:val="0"/>
        <w:snapToGrid w:val="0"/>
        <w:jc w:val="left"/>
        <w:rPr>
          <w:rFonts w:hint="eastAsia"/>
        </w:rPr>
      </w:pPr>
      <w:r>
        <w:rPr>
          <w:rFonts w:hint="default"/>
          <w:color w:val="auto"/>
        </w:rPr>
        <w:br w:type="page"/>
      </w:r>
    </w:p>
    <w:tbl>
      <w:tblPr>
        <w:tblStyle w:val="11"/>
        <w:tblW w:w="9781"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Look w:firstRow="0" w:lastRow="0" w:firstColumn="0" w:lastColumn="0" w:noHBand="1" w:noVBand="1" w:val="0600"/>
      </w:tblPr>
      <w:tblGrid>
        <w:gridCol w:w="1463"/>
        <w:gridCol w:w="1768"/>
        <w:gridCol w:w="4282"/>
        <w:gridCol w:w="2268"/>
      </w:tblGrid>
      <w:tr>
        <w:trPr>
          <w:trHeight w:val="336"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マーク</w:t>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名称</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表す意味など</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rPr>
            </w:pPr>
            <w:r>
              <w:rPr>
                <w:rFonts w:hint="eastAsia"/>
              </w:rPr>
              <w:t>問い合わせ先等</w:t>
            </w:r>
          </w:p>
        </w:tc>
      </w:tr>
      <w:tr>
        <w:trPr>
          <w:trHeight w:val="2848"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default"/>
              </w:rPr>
            </w:pPr>
            <w:r>
              <w:rPr>
                <w:rFonts w:hint="eastAsia"/>
              </w:rPr>
              <w:drawing>
                <wp:anchor simplePos="0" relativeHeight="94" behindDoc="0" locked="0" layoutInCell="1" hidden="0" allowOverlap="1">
                  <wp:simplePos x="0" y="0"/>
                  <wp:positionH relativeFrom="column">
                    <wp:posOffset>-42545</wp:posOffset>
                  </wp:positionH>
                  <wp:positionV relativeFrom="page">
                    <wp:posOffset>621030</wp:posOffset>
                  </wp:positionV>
                  <wp:extent cx="883920" cy="876300"/>
                  <wp:effectExtent l="0" t="0" r="0" b="0"/>
                  <wp:wrapNone/>
                  <wp:docPr id="1137" name="オブジェクト 0"/>
                  <a:graphic xmlns:a="http://schemas.openxmlformats.org/drawingml/2006/main">
                    <a:graphicData uri="http://schemas.openxmlformats.org/drawingml/2006/picture">
                      <pic:pic xmlns:pic="http://schemas.openxmlformats.org/drawingml/2006/picture">
                        <pic:nvPicPr>
                          <pic:cNvPr id="1137" name="オブジェクト 0"/>
                          <pic:cNvPicPr>
                            <a:picLocks noChangeAspect="1"/>
                          </pic:cNvPicPr>
                        </pic:nvPicPr>
                        <pic:blipFill>
                          <a:blip r:embed="rId73"/>
                          <a:stretch>
                            <a:fillRect/>
                          </a:stretch>
                        </pic:blipFill>
                        <pic:spPr>
                          <a:xfrm>
                            <a:off x="0" y="0"/>
                            <a:ext cx="883920" cy="876300"/>
                          </a:xfrm>
                          <a:prstGeom prst="rect">
                            <a:avLst/>
                          </a:prstGeom>
                          <a:noFill/>
                          <a:ln>
                            <a:miter/>
                          </a:ln>
                        </pic:spPr>
                      </pic:pic>
                    </a:graphicData>
                  </a:graphic>
                </wp:anchor>
              </w:drawing>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身体障害者補助犬</w:t>
            </w:r>
            <w:r>
              <w:rPr>
                <w:rFonts w:hint="eastAsia"/>
                <w:spacing w:val="-4"/>
                <w:kern w:val="0"/>
                <w:vertAlign w:val="superscript"/>
              </w:rPr>
              <w:t>＊</w:t>
            </w:r>
            <w:r>
              <w:rPr>
                <w:rFonts w:hint="eastAsia"/>
              </w:rPr>
              <w:t>ユーザー</w:t>
            </w:r>
            <w:r>
              <w:rPr>
                <w:rFonts w:hint="default" w:ascii="ＭＳ 明朝" w:hAnsi="ＭＳ 明朝"/>
              </w:rPr>
              <w:t>受け入れ</w:t>
            </w:r>
            <w:r>
              <w:rPr>
                <w:rFonts w:hint="eastAsia"/>
              </w:rPr>
              <w:t>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240" w:firstLineChars="100"/>
              <w:rPr>
                <w:rFonts w:hint="eastAsia"/>
              </w:rPr>
            </w:pPr>
            <w:r>
              <w:rPr>
                <w:rFonts w:hint="eastAsia"/>
              </w:rPr>
              <w:t>身体障害者補助犬を使用している</w:t>
            </w:r>
            <w:r>
              <w:rPr>
                <w:rFonts w:hint="default" w:ascii="ＭＳ 明朝" w:hAnsi="ＭＳ 明朝"/>
              </w:rPr>
              <w:t>方</w:t>
            </w:r>
            <w:r>
              <w:rPr>
                <w:rFonts w:hint="eastAsia"/>
              </w:rPr>
              <w:t>の自立と社会参加を応援する静岡県独自の</w:t>
            </w:r>
            <w:r>
              <w:rPr>
                <w:rFonts w:hint="default" w:ascii="ＭＳ 明朝" w:hAnsi="ＭＳ 明朝"/>
              </w:rPr>
              <w:t>マーク</w:t>
            </w:r>
            <w:r>
              <w:rPr>
                <w:rFonts w:hint="eastAsia"/>
              </w:rPr>
              <w:t>です。</w:t>
            </w:r>
          </w:p>
          <w:p>
            <w:pPr>
              <w:pStyle w:val="0"/>
              <w:ind w:firstLine="240" w:firstLineChars="100"/>
              <w:rPr>
                <w:rFonts w:hint="eastAsia"/>
              </w:rPr>
            </w:pPr>
            <w:r>
              <w:rPr>
                <w:rFonts w:hint="eastAsia"/>
              </w:rPr>
              <w:t>盲導犬</w:t>
            </w:r>
            <w:r>
              <w:rPr>
                <w:rFonts w:hint="eastAsia"/>
                <w:spacing w:val="-4"/>
                <w:kern w:val="0"/>
                <w:vertAlign w:val="superscript"/>
              </w:rPr>
              <w:t>＊</w:t>
            </w:r>
            <w:r>
              <w:rPr>
                <w:rFonts w:hint="eastAsia"/>
              </w:rPr>
              <w:t>などの身体障害者補助犬だけにスポットを</w:t>
            </w:r>
            <w:r>
              <w:rPr>
                <w:rFonts w:hint="default" w:ascii="ＭＳ 明朝" w:hAnsi="ＭＳ 明朝"/>
              </w:rPr>
              <w:t>当</w:t>
            </w:r>
            <w:r>
              <w:rPr>
                <w:rFonts w:hint="eastAsia"/>
              </w:rPr>
              <w:t>てるのではなく、あくまでも補助犬使用者が主役であるため、障害のある人とそのパートナーの補助犬を一緒に愛で包むデザインとなっています。</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default"/>
              </w:rPr>
            </w:pPr>
            <w:r>
              <w:rPr>
                <w:rFonts w:hint="eastAsia"/>
              </w:rPr>
              <w:t>静岡県補助犬インフォメーションデスク</w:t>
            </w:r>
          </w:p>
          <w:p>
            <w:pPr>
              <w:pStyle w:val="0"/>
              <w:rPr>
                <w:rFonts w:hint="eastAsia"/>
              </w:rPr>
            </w:pPr>
            <w:r>
              <w:rPr>
                <w:rFonts w:hint="default"/>
              </w:rPr>
              <w:t>TEL</w:t>
            </w:r>
            <w:r>
              <w:rPr>
                <w:rFonts w:hint="eastAsia"/>
              </w:rPr>
              <w:t>：</w:t>
            </w:r>
            <w:r>
              <w:rPr>
                <w:rFonts w:hint="default"/>
              </w:rPr>
              <w:t>054-221-5</w:t>
            </w:r>
            <w:r>
              <w:rPr>
                <w:rFonts w:hint="eastAsia"/>
              </w:rPr>
              <w:t>544</w:t>
            </w:r>
          </w:p>
        </w:tc>
      </w:tr>
      <w:tr>
        <w:trPr>
          <w:trHeight w:val="1306"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default"/>
              </w:rPr>
            </w:pPr>
            <w:r>
              <w:rPr>
                <w:rFonts w:hint="default"/>
              </w:rPr>
              <w:drawing>
                <wp:anchor simplePos="0" relativeHeight="95" behindDoc="0" locked="1" layoutInCell="1" hidden="0" allowOverlap="1">
                  <wp:simplePos x="0" y="0"/>
                  <wp:positionH relativeFrom="column">
                    <wp:posOffset>-20955</wp:posOffset>
                  </wp:positionH>
                  <wp:positionV relativeFrom="page">
                    <wp:posOffset>601980</wp:posOffset>
                  </wp:positionV>
                  <wp:extent cx="801370" cy="801370"/>
                  <wp:effectExtent l="0" t="0" r="0" b="0"/>
                  <wp:wrapNone/>
                  <wp:docPr id="1138" name="オブジェクト 0"/>
                  <a:graphic xmlns:a="http://schemas.openxmlformats.org/drawingml/2006/main">
                    <a:graphicData uri="http://schemas.openxmlformats.org/drawingml/2006/picture">
                      <pic:pic xmlns:pic="http://schemas.openxmlformats.org/drawingml/2006/picture">
                        <pic:nvPicPr>
                          <pic:cNvPr id="1138" name="オブジェクト 0"/>
                          <pic:cNvPicPr>
                            <a:picLocks noChangeAspect="1"/>
                          </pic:cNvPicPr>
                        </pic:nvPicPr>
                        <pic:blipFill>
                          <a:blip r:embed="rId74"/>
                          <a:stretch>
                            <a:fillRect/>
                          </a:stretch>
                        </pic:blipFill>
                        <pic:spPr>
                          <a:xfrm>
                            <a:off x="0" y="0"/>
                            <a:ext cx="801370" cy="801370"/>
                          </a:xfrm>
                          <a:prstGeom prst="rect">
                            <a:avLst/>
                          </a:prstGeom>
                          <a:noFill/>
                          <a:ln>
                            <a:miter/>
                          </a:ln>
                        </pic:spPr>
                      </pic:pic>
                    </a:graphicData>
                  </a:graphic>
                </wp:anchor>
              </w:drawing>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身体障害者標識（身体障害者マーク）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240" w:firstLineChars="100"/>
              <w:rPr>
                <w:rFonts w:hint="eastAsia"/>
              </w:rPr>
            </w:pPr>
            <w:r>
              <w:rPr>
                <w:rFonts w:hint="eastAsia"/>
              </w:rPr>
              <w:t>肢体不自由であることを理由に免許に条件を付されている方が運転する車に表示するマークで、マークの表示については、努力義務となっています。</w:t>
            </w:r>
          </w:p>
          <w:p>
            <w:pPr>
              <w:pStyle w:val="0"/>
              <w:ind w:firstLine="240" w:firstLineChars="100"/>
              <w:rPr>
                <w:rFonts w:hint="default"/>
              </w:rPr>
            </w:pPr>
            <w:r>
              <w:rPr>
                <w:rFonts w:hint="eastAsia"/>
              </w:rPr>
              <w:t>危険防止のためやむを得ない場合を除き、このマークを付けた車に幅寄せや割り込みを行った運転者は、道路交通法の規定により罰せられます。</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5" w:leftChars="2" w:right="5" w:rightChars="2"/>
              <w:rPr>
                <w:rFonts w:hint="eastAsia"/>
              </w:rPr>
            </w:pPr>
            <w:r>
              <w:rPr>
                <w:rFonts w:hint="eastAsia"/>
              </w:rPr>
              <w:t>警察庁交通局、都道府県警察本部交通部、警察署交通課</w:t>
            </w:r>
          </w:p>
          <w:p>
            <w:pPr>
              <w:pStyle w:val="0"/>
              <w:ind w:left="5" w:leftChars="2" w:right="5" w:rightChars="2"/>
              <w:rPr>
                <w:rFonts w:hint="eastAsia"/>
              </w:rPr>
            </w:pPr>
          </w:p>
          <w:p>
            <w:pPr>
              <w:pStyle w:val="0"/>
              <w:ind w:left="5" w:leftChars="2" w:right="5" w:rightChars="2"/>
              <w:rPr>
                <w:rFonts w:hint="eastAsia"/>
              </w:rPr>
            </w:pPr>
            <w:r>
              <w:rPr>
                <w:rFonts w:hint="eastAsia"/>
              </w:rPr>
              <w:t>警察庁</w:t>
            </w:r>
          </w:p>
          <w:p>
            <w:pPr>
              <w:pStyle w:val="0"/>
              <w:ind w:left="5" w:leftChars="2" w:right="5" w:rightChars="2"/>
              <w:rPr>
                <w:rFonts w:hint="default"/>
              </w:rPr>
            </w:pPr>
            <w:r>
              <w:rPr>
                <w:rFonts w:hint="default"/>
              </w:rPr>
              <w:t>TEL:03-3581-0141</w:t>
            </w:r>
          </w:p>
        </w:tc>
      </w:tr>
      <w:tr>
        <w:trPr>
          <w:trHeight w:val="70"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default"/>
              </w:rPr>
            </w:pPr>
            <w:r>
              <w:rPr>
                <w:rFonts w:hint="default"/>
              </w:rPr>
              <w:drawing>
                <wp:anchor simplePos="0" relativeHeight="96" behindDoc="0" locked="1" layoutInCell="1" hidden="0" allowOverlap="1">
                  <wp:simplePos x="0" y="0"/>
                  <wp:positionH relativeFrom="column">
                    <wp:posOffset>0</wp:posOffset>
                  </wp:positionH>
                  <wp:positionV relativeFrom="page">
                    <wp:posOffset>669925</wp:posOffset>
                  </wp:positionV>
                  <wp:extent cx="779780" cy="755015"/>
                  <wp:effectExtent l="0" t="0" r="0" b="0"/>
                  <wp:wrapNone/>
                  <wp:docPr id="1139" name="オブジェクト 0"/>
                  <a:graphic xmlns:a="http://schemas.openxmlformats.org/drawingml/2006/main">
                    <a:graphicData uri="http://schemas.openxmlformats.org/drawingml/2006/picture">
                      <pic:pic xmlns:pic="http://schemas.openxmlformats.org/drawingml/2006/picture">
                        <pic:nvPicPr>
                          <pic:cNvPr id="1139" name="オブジェクト 0"/>
                          <pic:cNvPicPr>
                            <a:picLocks noChangeAspect="1"/>
                          </pic:cNvPicPr>
                        </pic:nvPicPr>
                        <pic:blipFill>
                          <a:blip r:embed="rId75"/>
                          <a:stretch>
                            <a:fillRect/>
                          </a:stretch>
                        </pic:blipFill>
                        <pic:spPr>
                          <a:xfrm>
                            <a:off x="0" y="0"/>
                            <a:ext cx="779780" cy="755015"/>
                          </a:xfrm>
                          <a:prstGeom prst="rect">
                            <a:avLst/>
                          </a:prstGeom>
                          <a:noFill/>
                          <a:ln>
                            <a:miter/>
                          </a:ln>
                        </pic:spPr>
                      </pic:pic>
                    </a:graphicData>
                  </a:graphic>
                </wp:anchor>
              </w:drawing>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聴覚障害者標識（聴覚障害者マーク）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240" w:firstLineChars="100"/>
              <w:rPr>
                <w:rFonts w:hint="eastAsia"/>
              </w:rPr>
            </w:pPr>
            <w:r>
              <w:rPr>
                <w:rFonts w:hint="eastAsia"/>
              </w:rPr>
              <w:t>聴覚障害であることを理由に免許に条件を付されている方が運転する車に表示するマークで、マークの表示については、義務となっています。</w:t>
            </w:r>
          </w:p>
          <w:p>
            <w:pPr>
              <w:pStyle w:val="0"/>
              <w:ind w:firstLine="240" w:firstLineChars="100"/>
              <w:rPr>
                <w:rFonts w:hint="default"/>
              </w:rPr>
            </w:pPr>
            <w:r>
              <w:rPr>
                <w:rFonts w:hint="eastAsia"/>
              </w:rPr>
              <w:t>危険防止のためやむを得ない場合を除き、このマークを付けた車に幅寄せや割り込みを行った運転者は、道路交通法の規定により罰せられます。</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5" w:leftChars="2" w:right="5" w:rightChars="2"/>
              <w:rPr>
                <w:rFonts w:hint="eastAsia"/>
              </w:rPr>
            </w:pPr>
            <w:r>
              <w:rPr>
                <w:rFonts w:hint="eastAsia"/>
              </w:rPr>
              <w:t>警察庁交通局、都道府県警察本部交通部、警察署交通課</w:t>
            </w:r>
          </w:p>
          <w:p>
            <w:pPr>
              <w:pStyle w:val="0"/>
              <w:ind w:left="5" w:leftChars="2" w:right="5" w:rightChars="2"/>
              <w:rPr>
                <w:rFonts w:hint="default"/>
              </w:rPr>
            </w:pPr>
          </w:p>
          <w:p>
            <w:pPr>
              <w:pStyle w:val="0"/>
              <w:ind w:left="5" w:leftChars="2" w:right="5" w:rightChars="2"/>
              <w:rPr>
                <w:rFonts w:hint="eastAsia"/>
              </w:rPr>
            </w:pPr>
            <w:r>
              <w:rPr>
                <w:rFonts w:hint="eastAsia"/>
              </w:rPr>
              <w:t>警察庁</w:t>
            </w:r>
          </w:p>
          <w:p>
            <w:pPr>
              <w:pStyle w:val="0"/>
              <w:ind w:left="5" w:leftChars="2" w:right="5" w:rightChars="2"/>
              <w:rPr>
                <w:rFonts w:hint="default"/>
              </w:rPr>
            </w:pPr>
            <w:r>
              <w:rPr>
                <w:rFonts w:hint="default"/>
              </w:rPr>
              <w:t>TEL:03-3581-0141</w:t>
            </w:r>
          </w:p>
        </w:tc>
      </w:tr>
      <w:tr>
        <w:trPr>
          <w:trHeight w:val="3235" w:hRule="atLeast"/>
        </w:trPr>
        <w:tc>
          <w:tcPr>
            <w:tcW w:w="1463"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default"/>
              </w:rPr>
            </w:pPr>
          </w:p>
          <w:p>
            <w:pPr>
              <w:pStyle w:val="0"/>
              <w:rPr>
                <w:rFonts w:hint="default"/>
              </w:rPr>
            </w:pPr>
            <w:r>
              <w:rPr>
                <w:rFonts w:hint="eastAsia"/>
              </w:rPr>
              <w:drawing>
                <wp:anchor simplePos="0" relativeHeight="97" behindDoc="0" locked="0" layoutInCell="1" hidden="0" allowOverlap="1">
                  <wp:simplePos x="0" y="0"/>
                  <wp:positionH relativeFrom="column">
                    <wp:posOffset>-48260</wp:posOffset>
                  </wp:positionH>
                  <wp:positionV relativeFrom="paragraph">
                    <wp:posOffset>191770</wp:posOffset>
                  </wp:positionV>
                  <wp:extent cx="883920" cy="1402715"/>
                  <wp:effectExtent l="0" t="0" r="0" b="0"/>
                  <wp:wrapNone/>
                  <wp:docPr id="1140" name="オブジェクト 0"/>
                  <a:graphic xmlns:a="http://schemas.openxmlformats.org/drawingml/2006/main">
                    <a:graphicData uri="http://schemas.openxmlformats.org/drawingml/2006/picture">
                      <pic:pic xmlns:pic="http://schemas.openxmlformats.org/drawingml/2006/picture">
                        <pic:nvPicPr>
                          <pic:cNvPr id="1140" name="オブジェクト 0"/>
                          <pic:cNvPicPr>
                            <a:picLocks noChangeAspect="1"/>
                          </pic:cNvPicPr>
                        </pic:nvPicPr>
                        <pic:blipFill>
                          <a:blip r:embed="rId76"/>
                          <a:stretch>
                            <a:fillRect/>
                          </a:stretch>
                        </pic:blipFill>
                        <pic:spPr>
                          <a:xfrm>
                            <a:off x="0" y="0"/>
                            <a:ext cx="883920" cy="1402715"/>
                          </a:xfrm>
                          <a:prstGeom prst="rect">
                            <a:avLst/>
                          </a:prstGeom>
                          <a:noFill/>
                          <a:ln>
                            <a:miter/>
                          </a:ln>
                        </pic:spPr>
                      </pic:pic>
                    </a:graphicData>
                  </a:graphic>
                </wp:anchor>
              </w:drawing>
            </w:r>
          </w:p>
        </w:tc>
        <w:tc>
          <w:tcPr>
            <w:tcW w:w="17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r>
              <w:rPr>
                <w:rFonts w:hint="eastAsia"/>
              </w:rPr>
              <w:t>ヘルプマーク</w:t>
            </w:r>
          </w:p>
        </w:tc>
        <w:tc>
          <w:tcPr>
            <w:tcW w:w="428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240" w:firstLineChars="100"/>
              <w:rPr>
                <w:rFonts w:hint="eastAsia"/>
              </w:rPr>
            </w:pPr>
            <w:r>
              <w:rPr>
                <w:rFonts w:hint="default" w:ascii="ＭＳ 明朝" w:hAnsi="ＭＳ 明朝"/>
              </w:rPr>
              <w:t>義足</w:t>
            </w:r>
            <w:r>
              <w:rPr>
                <w:rFonts w:hint="eastAsia"/>
              </w:rPr>
              <w:t>や</w:t>
            </w:r>
            <w:r>
              <w:rPr>
                <w:rFonts w:hint="default" w:ascii="ＭＳ 明朝" w:hAnsi="ＭＳ 明朝"/>
              </w:rPr>
              <w:t>人工関節</w:t>
            </w:r>
            <w:r>
              <w:rPr>
                <w:rFonts w:hint="eastAsia"/>
              </w:rPr>
              <w:t>を</w:t>
            </w:r>
            <w:r>
              <w:rPr>
                <w:rFonts w:hint="default" w:ascii="ＭＳ 明朝" w:hAnsi="ＭＳ 明朝"/>
              </w:rPr>
              <w:t>使用</w:t>
            </w:r>
            <w:r>
              <w:rPr>
                <w:rFonts w:hint="eastAsia"/>
              </w:rPr>
              <w:t>している人、</w:t>
            </w:r>
            <w:r>
              <w:rPr>
                <w:rFonts w:hint="default" w:ascii="ＭＳ 明朝" w:hAnsi="ＭＳ 明朝"/>
              </w:rPr>
              <w:t>内部障害</w:t>
            </w:r>
            <w:r>
              <w:rPr>
                <w:rFonts w:hint="eastAsia"/>
              </w:rPr>
              <w:t>や</w:t>
            </w:r>
            <w:r>
              <w:rPr>
                <w:rFonts w:hint="default" w:ascii="ＭＳ 明朝" w:hAnsi="ＭＳ 明朝"/>
              </w:rPr>
              <w:t>難病</w:t>
            </w:r>
            <w:r>
              <w:rPr>
                <w:rFonts w:hint="eastAsia"/>
              </w:rPr>
              <w:t>の人、</w:t>
            </w:r>
            <w:r>
              <w:rPr>
                <w:rFonts w:hint="default" w:ascii="ＭＳ 明朝" w:hAnsi="ＭＳ 明朝"/>
              </w:rPr>
              <w:t>妊娠初期</w:t>
            </w:r>
            <w:r>
              <w:rPr>
                <w:rFonts w:hint="eastAsia"/>
              </w:rPr>
              <w:t>の人など</w:t>
            </w:r>
            <w:r>
              <w:rPr>
                <w:rFonts w:hint="default" w:ascii="ＭＳ 明朝" w:hAnsi="ＭＳ 明朝"/>
              </w:rPr>
              <w:t>外見</w:t>
            </w:r>
            <w:r>
              <w:rPr>
                <w:rFonts w:hint="eastAsia"/>
              </w:rPr>
              <w:t>からは</w:t>
            </w:r>
            <w:r>
              <w:rPr>
                <w:rFonts w:hint="default" w:ascii="ＭＳ 明朝" w:hAnsi="ＭＳ 明朝"/>
              </w:rPr>
              <w:t>分からなくて</w:t>
            </w:r>
            <w:r>
              <w:rPr>
                <w:rFonts w:hint="eastAsia"/>
              </w:rPr>
              <w:t>も</w:t>
            </w:r>
            <w:r>
              <w:rPr>
                <w:rFonts w:hint="default" w:ascii="ＭＳ 明朝" w:hAnsi="ＭＳ 明朝"/>
              </w:rPr>
              <w:t>配慮</w:t>
            </w:r>
            <w:r>
              <w:rPr>
                <w:rFonts w:hint="eastAsia"/>
              </w:rPr>
              <w:t>を</w:t>
            </w:r>
            <w:r>
              <w:rPr>
                <w:rFonts w:hint="default" w:ascii="ＭＳ 明朝" w:hAnsi="ＭＳ 明朝"/>
              </w:rPr>
              <w:t>必要</w:t>
            </w:r>
            <w:r>
              <w:rPr>
                <w:rFonts w:hint="eastAsia"/>
              </w:rPr>
              <w:t>としている人が、</w:t>
            </w:r>
            <w:r>
              <w:rPr>
                <w:rFonts w:hint="default" w:ascii="ＭＳ 明朝" w:hAnsi="ＭＳ 明朝"/>
              </w:rPr>
              <w:t>援助</w:t>
            </w:r>
            <w:r>
              <w:rPr>
                <w:rFonts w:hint="eastAsia"/>
              </w:rPr>
              <w:t>が</w:t>
            </w:r>
            <w:r>
              <w:rPr>
                <w:rFonts w:hint="default" w:ascii="ＭＳ 明朝" w:hAnsi="ＭＳ 明朝"/>
              </w:rPr>
              <w:t>得やすく</w:t>
            </w:r>
            <w:r>
              <w:rPr>
                <w:rFonts w:hint="eastAsia"/>
              </w:rPr>
              <w:t>なるためのマークです。</w:t>
            </w:r>
          </w:p>
          <w:p>
            <w:pPr>
              <w:pStyle w:val="0"/>
              <w:ind w:firstLine="240" w:firstLineChars="100"/>
              <w:rPr>
                <w:rFonts w:hint="eastAsia"/>
              </w:rPr>
            </w:pPr>
            <w:r>
              <w:rPr>
                <w:rFonts w:hint="default" w:ascii="ＭＳ 明朝" w:hAnsi="ＭＳ 明朝"/>
              </w:rPr>
              <w:t>経済産業省</w:t>
            </w:r>
            <w:r>
              <w:rPr>
                <w:rFonts w:hint="eastAsia"/>
              </w:rPr>
              <w:t>で、</w:t>
            </w:r>
            <w:r>
              <w:rPr>
                <w:rFonts w:hint="default" w:ascii="ＭＳ 明朝" w:hAnsi="ＭＳ 明朝"/>
              </w:rPr>
              <w:t>東京</w:t>
            </w:r>
            <w:r>
              <w:rPr>
                <w:rFonts w:hint="eastAsia"/>
              </w:rPr>
              <w:t>2020</w:t>
            </w:r>
            <w:r>
              <w:rPr>
                <w:rFonts w:hint="default" w:ascii="ＭＳ 明朝" w:hAnsi="ＭＳ 明朝"/>
              </w:rPr>
              <w:t>オリンピック</w:t>
            </w:r>
            <w:r>
              <w:rPr>
                <w:rFonts w:hint="eastAsia"/>
              </w:rPr>
              <w:t>・</w:t>
            </w:r>
            <w:r>
              <w:rPr>
                <w:rFonts w:hint="default" w:ascii="ＭＳ 明朝" w:hAnsi="ＭＳ 明朝"/>
              </w:rPr>
              <w:t>パラリンピック</w:t>
            </w:r>
            <w:r>
              <w:rPr>
                <w:rFonts w:hint="eastAsia"/>
              </w:rPr>
              <w:t>に</w:t>
            </w:r>
            <w:r>
              <w:rPr>
                <w:rFonts w:hint="default" w:ascii="ＭＳ 明朝" w:hAnsi="ＭＳ 明朝"/>
              </w:rPr>
              <w:t>向けた日本工業規格</w:t>
            </w:r>
            <w:r>
              <w:rPr>
                <w:rFonts w:hint="eastAsia"/>
              </w:rPr>
              <w:t>（</w:t>
            </w:r>
            <w:r>
              <w:rPr>
                <w:rFonts w:hint="default"/>
              </w:rPr>
              <w:t>JIS</w:t>
            </w:r>
            <w:r>
              <w:rPr>
                <w:rFonts w:hint="eastAsia"/>
              </w:rPr>
              <w:t>）</w:t>
            </w:r>
            <w:r>
              <w:rPr>
                <w:rFonts w:hint="default" w:ascii="ＭＳ 明朝" w:hAnsi="ＭＳ 明朝"/>
              </w:rPr>
              <w:t>案内用図記号</w:t>
            </w:r>
            <w:r>
              <w:rPr>
                <w:rFonts w:hint="eastAsia"/>
              </w:rPr>
              <w:t>の</w:t>
            </w:r>
            <w:r>
              <w:rPr>
                <w:rFonts w:hint="default" w:ascii="ＭＳ 明朝" w:hAnsi="ＭＳ 明朝"/>
              </w:rPr>
              <w:t>見直しの議論</w:t>
            </w:r>
            <w:r>
              <w:rPr>
                <w:rFonts w:hint="eastAsia"/>
              </w:rPr>
              <w:t>が</w:t>
            </w:r>
            <w:r>
              <w:rPr>
                <w:rFonts w:hint="default" w:ascii="ＭＳ 明朝" w:hAnsi="ＭＳ 明朝"/>
              </w:rPr>
              <w:t>行われ</w:t>
            </w:r>
            <w:r>
              <w:rPr>
                <w:rFonts w:hint="eastAsia"/>
              </w:rPr>
              <w:t>、</w:t>
            </w:r>
            <w:r>
              <w:rPr>
                <w:rFonts w:hint="eastAsia"/>
              </w:rPr>
              <w:t>2017</w:t>
            </w:r>
            <w:r>
              <w:rPr>
                <w:rFonts w:hint="default" w:ascii="ＭＳ 明朝" w:hAnsi="ＭＳ 明朝"/>
              </w:rPr>
              <w:t>年</w:t>
            </w:r>
            <w:r>
              <w:rPr>
                <w:rFonts w:hint="eastAsia"/>
              </w:rPr>
              <w:t>７</w:t>
            </w:r>
            <w:r>
              <w:rPr>
                <w:rFonts w:hint="default" w:ascii="ＭＳ 明朝" w:hAnsi="ＭＳ 明朝"/>
              </w:rPr>
              <w:t>月</w:t>
            </w:r>
            <w:r>
              <w:rPr>
                <w:rFonts w:hint="eastAsia"/>
              </w:rPr>
              <w:t>に「</w:t>
            </w:r>
            <w:r>
              <w:rPr>
                <w:rFonts w:hint="default" w:ascii="ＭＳ 明朝" w:hAnsi="ＭＳ 明朝"/>
              </w:rPr>
              <w:t>ヘルプマーク</w:t>
            </w:r>
            <w:r>
              <w:rPr>
                <w:rFonts w:hint="eastAsia"/>
              </w:rPr>
              <w:t>」が</w:t>
            </w:r>
            <w:r>
              <w:rPr>
                <w:rFonts w:hint="default" w:ascii="ＭＳ 明朝" w:hAnsi="ＭＳ 明朝"/>
              </w:rPr>
              <w:t>追加</w:t>
            </w:r>
            <w:r>
              <w:rPr>
                <w:rFonts w:hint="eastAsia"/>
              </w:rPr>
              <w:t>されました。</w:t>
            </w:r>
          </w:p>
        </w:tc>
        <w:tc>
          <w:tcPr>
            <w:tcW w:w="22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left="5" w:leftChars="2" w:right="5" w:rightChars="2"/>
              <w:rPr>
                <w:rFonts w:hint="eastAsia"/>
              </w:rPr>
            </w:pPr>
            <w:r>
              <w:rPr>
                <w:rFonts w:hint="default" w:ascii="ＭＳ 明朝" w:hAnsi="ＭＳ 明朝"/>
              </w:rPr>
              <w:t>県障害者政策課</w:t>
            </w:r>
          </w:p>
          <w:p>
            <w:pPr>
              <w:pStyle w:val="0"/>
              <w:ind w:left="5" w:leftChars="2" w:right="5" w:rightChars="2"/>
              <w:rPr>
                <w:rFonts w:hint="eastAsia"/>
              </w:rPr>
            </w:pPr>
            <w:r>
              <w:rPr>
                <w:rFonts w:hint="eastAsia"/>
              </w:rPr>
              <w:t>TEL:054-221-2352 FAX:054-221-3267</w:t>
            </w:r>
          </w:p>
        </w:tc>
      </w:tr>
    </w:tbl>
    <w:p>
      <w:pPr>
        <w:pStyle w:val="2"/>
        <w:rPr>
          <w:rFonts w:hint="eastAsia"/>
        </w:rPr>
        <w:sectPr>
          <w:pgSz w:w="11906" w:h="16838"/>
          <w:pgMar w:top="1134" w:right="1021" w:bottom="1134" w:left="1134" w:header="284" w:footer="284" w:gutter="0"/>
          <w:cols w:space="720"/>
          <w:textDirection w:val="lrTb"/>
          <w:docGrid w:type="lines" w:linePitch="383" w:charSpace="55953"/>
        </w:sectPr>
      </w:pPr>
      <w:r>
        <w:rPr>
          <w:rFonts w:hint="eastAsia"/>
        </w:rPr>
        <w:t>※「令和３年版障害者白書」等を参照</w:t>
      </w:r>
    </w:p>
    <w:p>
      <w:pPr>
        <w:pStyle w:val="0"/>
        <w:rPr>
          <w:rFonts w:hint="default"/>
        </w:rPr>
        <w:sectPr>
          <w:type w:val="continuous"/>
          <w:pgSz w:w="11906" w:h="16838"/>
          <w:pgMar w:top="1134" w:right="1021" w:bottom="1134" w:left="1134" w:header="284" w:footer="284" w:gutter="0"/>
          <w:cols w:space="720"/>
          <w:textDirection w:val="lrTb"/>
          <w:docGrid w:type="lines" w:linePitch="383" w:charSpace="55953"/>
        </w:sectPr>
      </w:pPr>
    </w:p>
    <w:p>
      <w:pPr>
        <w:pStyle w:val="0"/>
        <w:jc w:val="center"/>
        <w:rPr>
          <w:rFonts w:hint="eastAsia"/>
        </w:rPr>
      </w:pPr>
      <w:r>
        <w:rPr>
          <w:rFonts w:hint="default"/>
          <w:color w:val="auto"/>
        </w:rPr>
        <w:br w:type="page"/>
      </w: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r>
        <w:rPr>
          <w:rFonts w:hint="default"/>
        </w:rPr>
        <w:drawing>
          <wp:inline>
            <wp:extent cx="3251200" cy="1852930"/>
            <wp:effectExtent l="0" t="0" r="0" b="0"/>
            <wp:docPr id="1141" name="オブジェクト 0"/>
            <a:graphic xmlns:a="http://schemas.openxmlformats.org/drawingml/2006/main">
              <a:graphicData uri="http://schemas.openxmlformats.org/drawingml/2006/picture">
                <pic:pic xmlns:pic="http://schemas.openxmlformats.org/drawingml/2006/picture">
                  <pic:nvPicPr>
                    <pic:cNvPr id="1141" name="オブジェクト 0"/>
                    <pic:cNvPicPr>
                      <a:picLocks noChangeAspect="1"/>
                    </pic:cNvPicPr>
                  </pic:nvPicPr>
                  <pic:blipFill>
                    <a:blip r:embed="rId80"/>
                    <a:stretch>
                      <a:fillRect/>
                    </a:stretch>
                  </pic:blipFill>
                  <pic:spPr>
                    <a:xfrm>
                      <a:off x="0" y="0"/>
                      <a:ext cx="3251200" cy="1852930"/>
                    </a:xfrm>
                    <a:prstGeom prst="rect">
                      <a:avLst/>
                    </a:prstGeom>
                    <a:noFill/>
                    <a:ln>
                      <a:miter/>
                    </a:ln>
                  </pic:spPr>
                </pic:pic>
              </a:graphicData>
            </a:graphic>
          </wp:inline>
        </w:drawing>
      </w:r>
    </w:p>
    <w:p>
      <w:pPr>
        <w:pStyle w:val="0"/>
        <w:jc w:val="center"/>
        <w:rPr>
          <w:rFonts w:hint="eastAsia"/>
        </w:rPr>
      </w:pPr>
    </w:p>
    <w:p>
      <w:pPr>
        <w:pStyle w:val="0"/>
        <w:jc w:val="center"/>
        <w:rPr>
          <w:rFonts w:hint="eastAsia"/>
        </w:rPr>
      </w:pPr>
    </w:p>
    <w:p>
      <w:pPr>
        <w:pStyle w:val="0"/>
        <w:snapToGrid w:val="0"/>
        <w:jc w:val="center"/>
        <w:rPr>
          <w:rFonts w:hint="eastAsia"/>
          <w:sz w:val="36"/>
        </w:rPr>
      </w:pPr>
      <w:r>
        <w:rPr>
          <w:rFonts w:hint="eastAsia"/>
          <w:sz w:val="36"/>
        </w:rPr>
        <w:t>ふじのくに</w:t>
      </w:r>
    </w:p>
    <w:p>
      <w:pPr>
        <w:pStyle w:val="0"/>
        <w:snapToGrid w:val="0"/>
        <w:jc w:val="center"/>
        <w:rPr>
          <w:rFonts w:hint="eastAsia"/>
          <w:sz w:val="36"/>
        </w:rPr>
      </w:pPr>
      <w:r>
        <w:rPr>
          <w:rFonts w:hint="eastAsia"/>
          <w:sz w:val="36"/>
        </w:rPr>
        <w:t>障害者しあわせプラン</w:t>
      </w:r>
    </w:p>
    <w:p>
      <w:pPr>
        <w:pStyle w:val="0"/>
        <w:jc w:val="center"/>
        <w:rPr>
          <w:rFonts w:hint="eastAsia"/>
        </w:rPr>
      </w:pPr>
    </w:p>
    <w:p>
      <w:pPr>
        <w:pStyle w:val="0"/>
        <w:ind w:right="3082" w:rightChars="1284" w:firstLine="3077" w:firstLineChars="1282"/>
        <w:jc w:val="distribute"/>
        <w:rPr>
          <w:rFonts w:hint="eastAsia"/>
        </w:rPr>
      </w:pPr>
      <w:r>
        <w:rPr>
          <w:rFonts w:hint="eastAsia"/>
        </w:rPr>
        <w:t>第５次静岡県障害者計画</w:t>
      </w:r>
    </w:p>
    <w:p>
      <w:pPr>
        <w:pStyle w:val="0"/>
        <w:jc w:val="center"/>
        <w:rPr>
          <w:rFonts w:hint="eastAsia"/>
        </w:rPr>
      </w:pPr>
    </w:p>
    <w:p>
      <w:pPr>
        <w:pStyle w:val="0"/>
        <w:jc w:val="center"/>
        <w:rPr>
          <w:rFonts w:hint="eastAsia"/>
        </w:rPr>
      </w:pPr>
      <w:r>
        <w:rPr>
          <w:rFonts w:hint="eastAsia"/>
        </w:rPr>
        <w:t>令和４年３月策定</w:t>
      </w:r>
    </w:p>
    <w:p>
      <w:pPr>
        <w:pStyle w:val="0"/>
        <w:jc w:val="center"/>
        <w:rPr>
          <w:rFonts w:hint="eastAsia"/>
        </w:rPr>
      </w:pPr>
    </w:p>
    <w:p>
      <w:pPr>
        <w:pStyle w:val="0"/>
        <w:ind w:right="2054" w:rightChars="856" w:firstLine="2052" w:firstLineChars="855"/>
        <w:jc w:val="distribute"/>
        <w:rPr>
          <w:rFonts w:hint="eastAsia"/>
        </w:rPr>
      </w:pPr>
      <w:r>
        <w:rPr>
          <w:rFonts w:hint="eastAsia"/>
        </w:rPr>
        <w:t>静岡県健康福祉部障害者支援局障害者政策課</w:t>
      </w:r>
    </w:p>
    <w:p>
      <w:pPr>
        <w:pStyle w:val="0"/>
        <w:ind w:right="2054" w:rightChars="856" w:firstLine="2052" w:firstLineChars="855"/>
        <w:jc w:val="distribute"/>
        <w:rPr>
          <w:rFonts w:hint="eastAsia"/>
        </w:rPr>
      </w:pPr>
      <w:r>
        <w:rPr>
          <w:rFonts w:hint="eastAsia"/>
        </w:rPr>
        <w:t>〒</w:t>
      </w:r>
      <w:r>
        <w:rPr>
          <w:rFonts w:hint="eastAsia"/>
        </w:rPr>
        <w:t>420-8601</w:t>
      </w:r>
      <w:r>
        <w:rPr>
          <w:rFonts w:hint="eastAsia"/>
        </w:rPr>
        <w:t>　静岡県静岡市葵区追手町９番６号</w:t>
      </w:r>
    </w:p>
    <w:p>
      <w:pPr>
        <w:pStyle w:val="0"/>
        <w:ind w:right="2054" w:rightChars="856" w:firstLine="2052" w:firstLineChars="855"/>
        <w:jc w:val="distribute"/>
        <w:rPr>
          <w:rFonts w:hint="eastAsia"/>
        </w:rPr>
      </w:pPr>
      <w:r>
        <w:rPr>
          <w:rFonts w:hint="eastAsia"/>
        </w:rPr>
        <w:t>電　話：０５４－２２１－３５９９</w:t>
      </w:r>
    </w:p>
    <w:p>
      <w:pPr>
        <w:pStyle w:val="0"/>
        <w:ind w:right="2054" w:rightChars="856" w:firstLine="2052" w:firstLineChars="855"/>
        <w:jc w:val="distribute"/>
        <w:rPr>
          <w:rFonts w:hint="eastAsia"/>
        </w:rPr>
      </w:pPr>
      <w:r>
        <w:rPr>
          <w:rFonts w:hint="eastAsia"/>
        </w:rPr>
        <w:t>ＦＡＸ：０５４－２２１－３２６７</w:t>
      </w:r>
    </w:p>
    <w:p>
      <w:pPr>
        <w:pStyle w:val="0"/>
        <w:autoSpaceDE w:val="0"/>
        <w:autoSpaceDN w:val="0"/>
        <w:adjustRightInd w:val="0"/>
        <w:ind w:leftChars="0" w:firstLine="2052" w:firstLineChars="855"/>
        <w:jc w:val="left"/>
        <w:rPr>
          <w:rFonts w:hint="default"/>
        </w:rPr>
      </w:pPr>
      <w:r>
        <w:rPr>
          <w:rFonts w:hint="eastAsia"/>
        </w:rPr>
        <w:t>メール：</w:t>
      </w:r>
      <w:r>
        <w:rPr>
          <w:rFonts w:hint="eastAsia"/>
        </w:rPr>
        <w:t>shougai-seisaku@pref.shizuoka.lg.jp</w:t>
      </w:r>
    </w:p>
    <w:sectPr>
      <w:footerReference r:id="rId78" w:type="even"/>
      <w:footerReference r:id="rId79" w:type="default"/>
      <w:footerReference r:id="rId77" w:type="first"/>
      <w:type w:val="continuous"/>
      <w:pgSz w:w="11906" w:h="16838"/>
      <w:pgMar w:top="1134" w:right="1021" w:bottom="1134" w:left="1134" w:header="284" w:footer="284" w:gutter="0"/>
      <w:cols w:space="720"/>
      <w:textDirection w:val="lrTb"/>
      <w:docGrid w:type="lines" w:linePitch="383" w:charSpace="5595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Century">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ＤＦ特太ゴシック体">
    <w:panose1 w:val="00000000000000000000"/>
    <w:charset w:val="80"/>
    <w:family w:val="modern"/>
    <w:notTrueType/>
    <w:pitch w:val="fixed"/>
    <w:sig w:usb0="00000000" w:usb1="00000000" w:usb2="00000000" w:usb3="00000000" w:csb0="01008200" w:csb1="00000000"/>
  </w:font>
  <w:font w:name="HGｺﾞｼｯｸM">
    <w:panose1 w:val="00000000000000000000"/>
    <w:charset w:val="80"/>
    <w:family w:val="moder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HG正楷書体-PRO">
    <w:panose1 w:val="00000000000000000000"/>
    <w:charset w:val="80"/>
    <w:family w:val="script"/>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ＭＳ ゴシックfalt">
    <w:panose1 w:val="00000000000000000000"/>
    <w:charset w:val="80"/>
    <w:family w:val="modern"/>
    <w:notTrueType/>
    <w:pitch w:val="fixed"/>
    <w:sig w:usb0="00000000" w:usb1="00000000" w:usb2="00000000" w:usb3="00000000" w:csb0="0002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center"/>
      <w:rPr>
        <w:rFonts w:hint="default"/>
      </w:rPr>
    </w:pPr>
  </w:p>
  <w:p>
    <w:pPr>
      <w:pStyle w:val="0"/>
      <w:rPr>
        <w:rFonts w:hint="default"/>
      </w:rPr>
    </w:pPr>
  </w:p>
</w:ftr>
</file>

<file path=word/footer1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1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jc w:val="center"/>
      <w:rPr>
        <w:rFonts w:hint="default" w:ascii="HG丸ｺﾞｼｯｸM-PRO" w:hAnsi="HG丸ｺﾞｼｯｸM-PRO" w:eastAsia="HG丸ｺﾞｼｯｸM-PRO"/>
        <w:sz w:val="20"/>
      </w:rPr>
    </w:pPr>
    <w:r>
      <w:rPr>
        <w:rFonts w:hint="eastAsia"/>
      </w:rPr>
      <w:fldChar w:fldCharType="begin"/>
    </w:r>
    <w:r>
      <w:rPr>
        <w:rFonts w:hint="eastAsia"/>
      </w:rPr>
      <w:instrText xml:space="preserve">PAGE  \* MERGEFORMAT </w:instrText>
    </w:r>
    <w:r>
      <w:rPr>
        <w:rFonts w:hint="eastAsia"/>
      </w:rPr>
      <w:fldChar w:fldCharType="separate"/>
    </w:r>
    <w:r>
      <w:rPr>
        <w:rStyle w:val="26"/>
        <w:rFonts w:hint="eastAsia" w:ascii="HG丸ｺﾞｼｯｸM-PRO" w:hAnsi="HG丸ｺﾞｼｯｸM-PRO" w:eastAsia="HG丸ｺﾞｼｯｸM-PRO"/>
        <w:sz w:val="20"/>
      </w:rPr>
      <w:t>58</w:t>
    </w:r>
    <w:r>
      <w:rPr>
        <w:rFonts w:hint="eastAsia"/>
      </w:rPr>
      <w:fldChar w:fldCharType="end"/>
    </w:r>
  </w:p>
  <w:p>
    <w:pPr>
      <w:pStyle w:val="19"/>
      <w:jc w:val="center"/>
      <w:rPr>
        <w:rFonts w:hint="default" w:ascii="HG丸ｺﾞｼｯｸM-PRO" w:hAnsi="HG丸ｺﾞｼｯｸM-PRO" w:eastAsia="HG丸ｺﾞｼｯｸM-PRO"/>
        <w:sz w:val="20"/>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center"/>
      <w:rPr>
        <w:rFonts w:hint="eastAsia" w:ascii="HG丸ｺﾞｼｯｸM-PRO" w:hAnsi="HG丸ｺﾞｼｯｸM-PRO" w:eastAsia="HG丸ｺﾞｼｯｸM-PRO"/>
        <w:sz w:val="20"/>
      </w:rPr>
    </w:pPr>
    <w:r>
      <w:rPr>
        <w:rFonts w:hint="eastAsia"/>
      </w:rPr>
      <w:fldChar w:fldCharType="begin"/>
    </w:r>
    <w:r>
      <w:rPr>
        <w:rFonts w:hint="eastAsia"/>
      </w:rPr>
      <w:instrText xml:space="preserve">PAGE  \* MERGEFORMAT </w:instrText>
    </w:r>
    <w:r>
      <w:rPr>
        <w:rFonts w:hint="eastAsia"/>
      </w:rPr>
      <w:fldChar w:fldCharType="separate"/>
    </w:r>
    <w:r>
      <w:rPr>
        <w:rStyle w:val="26"/>
        <w:rFonts w:hint="eastAsia" w:ascii="HG丸ｺﾞｼｯｸM-PRO" w:hAnsi="HG丸ｺﾞｼｯｸM-PRO" w:eastAsia="HG丸ｺﾞｼｯｸM-PRO"/>
        <w:sz w:val="20"/>
      </w:rPr>
      <w:t>104</w:t>
    </w:r>
    <w:r>
      <w:rPr>
        <w:rFonts w:hint="eastAsia"/>
      </w:rPr>
      <w:fldChar w:fldCharType="end"/>
    </w:r>
  </w:p>
  <w:p>
    <w:pPr>
      <w:pStyle w:val="0"/>
      <w:rPr>
        <w:rFonts w:hint="eastAsia"/>
      </w:rPr>
    </w:pP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6"/>
        <w:rFonts w:hint="eastAsia"/>
      </w:rPr>
      <w:t>106</w:t>
    </w:r>
    <w:r>
      <w:rPr>
        <w:rFonts w:hint="eastAsia"/>
      </w:rPr>
      <w:fldChar w:fldCharType="end"/>
    </w:r>
  </w:p>
  <w:p>
    <w:pPr>
      <w:pStyle w:val="0"/>
      <w:rPr>
        <w:rFonts w:hint="eastAsia"/>
      </w:rPr>
    </w:pPr>
  </w:p>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7"/>
      <w:jc w:val="right"/>
      <w:rPr>
        <w:rFonts w:hint="default"/>
        <w:sz w:val="20"/>
      </w:rPr>
    </w:pPr>
  </w:p>
</w:hdr>
</file>

<file path=word/header10.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1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right"/>
      <w:rPr>
        <w:rFonts w:hint="eastAsia"/>
      </w:rPr>
    </w:pPr>
    <w:r>
      <w:rPr>
        <w:rFonts w:hint="eastAsia"/>
        <w:sz w:val="20"/>
      </w:rPr>
      <w:t>【第２部】各論～Ⅰ障害に対する理解と相互交流の促進</w:t>
    </w:r>
  </w:p>
</w:hdr>
</file>

<file path=word/header1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1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1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right"/>
      <w:rPr>
        <w:rFonts w:hint="eastAsia"/>
      </w:rPr>
    </w:pPr>
    <w:r>
      <w:rPr>
        <w:rFonts w:hint="eastAsia"/>
        <w:sz w:val="20"/>
      </w:rPr>
      <w:t>【第２部】各論～Ⅱ地域における自立を支える体制づくり</w:t>
    </w:r>
  </w:p>
</w:hdr>
</file>

<file path=word/header1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1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1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right"/>
      <w:rPr>
        <w:rFonts w:hint="eastAsia"/>
      </w:rPr>
    </w:pPr>
    <w:r>
      <w:rPr>
        <w:rFonts w:hint="eastAsia"/>
        <w:sz w:val="20"/>
      </w:rPr>
      <w:t>【第２部】各論～Ⅲ多様な障害に応じたきめ細かな支援</w:t>
    </w:r>
  </w:p>
</w:hdr>
</file>

<file path=word/header1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1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7"/>
      <w:jc w:val="right"/>
      <w:rPr>
        <w:rFonts w:hint="default"/>
        <w:sz w:val="20"/>
      </w:rPr>
    </w:pPr>
    <w:r>
      <w:rPr>
        <w:rFonts w:hint="eastAsia"/>
        <w:sz w:val="20"/>
      </w:rPr>
      <w:t>【第１部】総論</w:t>
    </w:r>
    <w:r>
      <w:rPr>
        <w:rFonts w:hint="eastAsia"/>
        <w:sz w:val="20"/>
      </w:rPr>
      <w:t xml:space="preserve"> </w:t>
    </w:r>
    <w:r>
      <w:rPr>
        <w:rFonts w:hint="eastAsia"/>
        <w:sz w:val="20"/>
      </w:rPr>
      <w:t>～Ⅰ</w:t>
    </w:r>
    <w:r>
      <w:rPr>
        <w:rFonts w:hint="eastAsia"/>
        <w:sz w:val="20"/>
      </w:rPr>
      <w:t xml:space="preserve"> </w:t>
    </w:r>
    <w:r>
      <w:rPr>
        <w:rFonts w:hint="eastAsia"/>
        <w:sz w:val="20"/>
      </w:rPr>
      <w:t>計画の概要</w:t>
    </w:r>
  </w:p>
  <w:p>
    <w:pPr>
      <w:pStyle w:val="0"/>
      <w:tabs>
        <w:tab w:val="left" w:leader="none" w:pos="8022"/>
      </w:tabs>
      <w:rPr>
        <w:rFonts w:hint="default"/>
        <w:sz w:val="20"/>
      </w:rPr>
    </w:pPr>
    <w:r>
      <w:rPr>
        <w:rFonts w:hint="eastAsia"/>
        <w:sz w:val="20"/>
      </w:rPr>
      <w:tab/>
    </w:r>
  </w:p>
  <w:p>
    <w:pPr>
      <w:pStyle w:val="0"/>
      <w:tabs>
        <w:tab w:val="left" w:leader="none" w:pos="7212"/>
      </w:tabs>
      <w:rPr>
        <w:rFonts w:hint="default"/>
        <w:sz w:val="20"/>
      </w:rPr>
    </w:pPr>
    <w:r>
      <w:rPr>
        <w:rFonts w:hint="eastAsia"/>
        <w:sz w:val="20"/>
      </w:rPr>
      <w:tab/>
    </w:r>
  </w:p>
</w:hdr>
</file>

<file path=word/header20.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right"/>
      <w:rPr>
        <w:rFonts w:hint="eastAsia"/>
      </w:rPr>
    </w:pPr>
    <w:r>
      <w:rPr>
        <w:rFonts w:hint="eastAsia"/>
        <w:sz w:val="20"/>
      </w:rPr>
      <w:t>【資料】</w:t>
    </w:r>
  </w:p>
  <w:p>
    <w:pPr>
      <w:pStyle w:val="0"/>
      <w:jc w:val="right"/>
      <w:rPr>
        <w:rFonts w:hint="eastAsia"/>
      </w:rPr>
    </w:pPr>
  </w:p>
</w:hdr>
</file>

<file path=word/header2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2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2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right"/>
      <w:rPr>
        <w:rFonts w:hint="eastAsia"/>
      </w:rPr>
    </w:pPr>
    <w:r>
      <w:rPr>
        <w:rFonts w:hint="eastAsia"/>
        <w:sz w:val="20"/>
      </w:rPr>
      <w:t>【資料】</w:t>
    </w:r>
  </w:p>
</w:hdr>
</file>

<file path=word/header2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2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2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7"/>
      <w:jc w:val="right"/>
      <w:rPr>
        <w:rFonts w:hint="eastAsia"/>
      </w:rPr>
    </w:pPr>
    <w:r>
      <w:rPr>
        <w:rFonts w:hint="eastAsia"/>
        <w:sz w:val="20"/>
      </w:rPr>
      <w:t>【第１部】総論</w:t>
    </w:r>
    <w:r>
      <w:rPr>
        <w:rFonts w:hint="eastAsia"/>
        <w:sz w:val="20"/>
      </w:rPr>
      <w:t xml:space="preserve"> </w:t>
    </w:r>
    <w:r>
      <w:rPr>
        <w:rFonts w:hint="eastAsia"/>
        <w:sz w:val="20"/>
      </w:rPr>
      <w:t>～Ⅱ</w:t>
    </w:r>
    <w:r>
      <w:rPr>
        <w:rFonts w:hint="eastAsia"/>
        <w:sz w:val="20"/>
      </w:rPr>
      <w:t xml:space="preserve"> </w:t>
    </w:r>
    <w:r>
      <w:rPr>
        <w:rFonts w:hint="eastAsia"/>
        <w:sz w:val="20"/>
      </w:rPr>
      <w:t>障害のある人を取り巻く状況と取組の方向性</w:t>
    </w:r>
  </w:p>
</w:hdr>
</file>

<file path=word/header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7"/>
      <w:jc w:val="right"/>
      <w:rPr>
        <w:rFonts w:hint="eastAsia"/>
      </w:rPr>
    </w:pPr>
    <w:r>
      <w:rPr>
        <w:rFonts w:hint="eastAsia"/>
        <w:sz w:val="20"/>
      </w:rPr>
      <w:t>【第１部】総論</w:t>
    </w:r>
    <w:r>
      <w:rPr>
        <w:rFonts w:hint="eastAsia"/>
        <w:sz w:val="20"/>
      </w:rPr>
      <w:t xml:space="preserve"> </w:t>
    </w:r>
    <w:r>
      <w:rPr>
        <w:rFonts w:hint="eastAsia"/>
        <w:sz w:val="20"/>
      </w:rPr>
      <w:t>～Ⅲ計画の基本的方向性</w:t>
    </w:r>
  </w:p>
</w:hdr>
</file>

<file path=word/header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B2A87D94"/>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1">
    <w:nsid w:val="00000002"/>
    <w:multiLevelType w:val="hybridMultilevel"/>
    <w:tmpl w:val="038EE1EE"/>
    <w:lvl w:ilvl="0" w:tplc="00000000">
      <w:numFmt w:val="bullet"/>
      <w:lvlText w:val="・"/>
      <w:lvlJc w:val="left"/>
      <w:pPr>
        <w:tabs>
          <w:tab w:val="num" w:leader="none" w:pos="600"/>
        </w:tabs>
        <w:ind w:left="600" w:hanging="360"/>
      </w:pPr>
      <w:rPr>
        <w:rFonts w:hint="eastAsia" w:ascii="ＭＳ 明朝" w:hAnsi="ＭＳ 明朝" w:eastAsia="ＭＳ 明朝"/>
        <w:color w:val="auto"/>
        <w:sz w:val="24"/>
      </w:rPr>
    </w:lvl>
    <w:lvl w:ilvl="1" w:tplc="00000000">
      <w:numFmt w:val="bullet"/>
      <w:lvlText w:val=""/>
      <w:lvlJc w:val="left"/>
      <w:pPr>
        <w:tabs>
          <w:tab w:val="num" w:leader="none" w:pos="1080"/>
        </w:tabs>
        <w:ind w:left="1080" w:hanging="420"/>
      </w:pPr>
      <w:rPr>
        <w:rFonts w:hint="default" w:ascii="Wingdings" w:hAnsi="Wingdings"/>
      </w:rPr>
    </w:lvl>
    <w:lvl w:ilvl="2" w:tplc="00000000">
      <w:numFmt w:val="bullet"/>
      <w:lvlText w:val=""/>
      <w:lvlJc w:val="left"/>
      <w:pPr>
        <w:tabs>
          <w:tab w:val="num" w:leader="none" w:pos="1500"/>
        </w:tabs>
        <w:ind w:left="1500" w:hanging="420"/>
      </w:pPr>
      <w:rPr>
        <w:rFonts w:hint="default" w:ascii="Wingdings" w:hAnsi="Wingdings"/>
      </w:rPr>
    </w:lvl>
    <w:lvl w:ilvl="3" w:tplc="00000000">
      <w:numFmt w:val="bullet"/>
      <w:lvlText w:val=""/>
      <w:lvlJc w:val="left"/>
      <w:pPr>
        <w:tabs>
          <w:tab w:val="num" w:leader="none" w:pos="1920"/>
        </w:tabs>
        <w:ind w:left="1920" w:hanging="420"/>
      </w:pPr>
      <w:rPr>
        <w:rFonts w:hint="default" w:ascii="Wingdings" w:hAnsi="Wingdings"/>
      </w:rPr>
    </w:lvl>
    <w:lvl w:ilvl="4" w:tplc="00000000">
      <w:numFmt w:val="bullet"/>
      <w:lvlText w:val=""/>
      <w:lvlJc w:val="left"/>
      <w:pPr>
        <w:tabs>
          <w:tab w:val="num" w:leader="none" w:pos="2340"/>
        </w:tabs>
        <w:ind w:left="2340" w:hanging="420"/>
      </w:pPr>
      <w:rPr>
        <w:rFonts w:hint="default" w:ascii="Wingdings" w:hAnsi="Wingdings"/>
      </w:rPr>
    </w:lvl>
    <w:lvl w:ilvl="5" w:tplc="00000000">
      <w:numFmt w:val="bullet"/>
      <w:lvlText w:val=""/>
      <w:lvlJc w:val="left"/>
      <w:pPr>
        <w:tabs>
          <w:tab w:val="num" w:leader="none" w:pos="2760"/>
        </w:tabs>
        <w:ind w:left="2760" w:hanging="420"/>
      </w:pPr>
      <w:rPr>
        <w:rFonts w:hint="default" w:ascii="Wingdings" w:hAnsi="Wingdings"/>
      </w:rPr>
    </w:lvl>
    <w:lvl w:ilvl="6" w:tplc="00000000">
      <w:numFmt w:val="bullet"/>
      <w:lvlText w:val=""/>
      <w:lvlJc w:val="left"/>
      <w:pPr>
        <w:tabs>
          <w:tab w:val="num" w:leader="none" w:pos="3180"/>
        </w:tabs>
        <w:ind w:left="3180" w:hanging="420"/>
      </w:pPr>
      <w:rPr>
        <w:rFonts w:hint="default" w:ascii="Wingdings" w:hAnsi="Wingdings"/>
      </w:rPr>
    </w:lvl>
    <w:lvl w:ilvl="7" w:tplc="00000000">
      <w:numFmt w:val="bullet"/>
      <w:lvlText w:val=""/>
      <w:lvlJc w:val="left"/>
      <w:pPr>
        <w:tabs>
          <w:tab w:val="num" w:leader="none" w:pos="3600"/>
        </w:tabs>
        <w:ind w:left="3600" w:hanging="420"/>
      </w:pPr>
      <w:rPr>
        <w:rFonts w:hint="default" w:ascii="Wingdings" w:hAnsi="Wingdings"/>
      </w:rPr>
    </w:lvl>
    <w:lvl w:ilvl="8" w:tplc="00000000">
      <w:numFmt w:val="bullet"/>
      <w:lvlText w:val=""/>
      <w:lvlJc w:val="left"/>
      <w:pPr>
        <w:tabs>
          <w:tab w:val="num" w:leader="none" w:pos="4020"/>
        </w:tabs>
        <w:ind w:left="4020" w:hanging="420"/>
      </w:pPr>
      <w:rPr>
        <w:rFonts w:hint="default" w:ascii="Wingdings" w:hAnsi="Wingdings"/>
      </w:rPr>
    </w:lvl>
  </w:abstractNum>
  <w:abstractNum w:abstractNumId="2">
    <w:nsid w:val="00000003"/>
    <w:multiLevelType w:val="hybridMultilevel"/>
    <w:tmpl w:val="565C90FE"/>
    <w:lvl w:ilvl="0" w:tplc="00000000">
      <w:start w:val="1"/>
      <w:numFmt w:val="decimalEnclosedCircle"/>
      <w:lvlText w:val="%1"/>
      <w:lvlJc w:val="left"/>
      <w:pPr>
        <w:tabs>
          <w:tab w:val="num" w:leader="none" w:pos="862"/>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3">
    <w:nsid w:val="00000004"/>
    <w:multiLevelType w:val="hybridMultilevel"/>
    <w:tmpl w:val="565C90FE"/>
    <w:lvl w:ilvl="0" w:tplc="00000000">
      <w:start w:val="1"/>
      <w:numFmt w:val="decimalEnclosedCircle"/>
      <w:lvlText w:val="%1"/>
      <w:lvlJc w:val="left"/>
      <w:pPr>
        <w:tabs>
          <w:tab w:val="num" w:leader="none" w:pos="862"/>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4">
    <w:nsid w:val="00000005"/>
    <w:multiLevelType w:val="hybridMultilevel"/>
    <w:tmpl w:val="41F60DCC"/>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5">
    <w:nsid w:val="00000006"/>
    <w:multiLevelType w:val="hybridMultilevel"/>
    <w:tmpl w:val="C9788706"/>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6">
    <w:nsid w:val="00000007"/>
    <w:multiLevelType w:val="hybridMultilevel"/>
    <w:tmpl w:val="90D0E77A"/>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7">
    <w:nsid w:val="00000008"/>
    <w:multiLevelType w:val="hybridMultilevel"/>
    <w:tmpl w:val="1982E2AE"/>
    <w:lvl w:ilvl="0" w:tplc="00000000">
      <w:start w:val="1"/>
      <w:numFmt w:val="decimalEnclosedCircle"/>
      <w:lvlText w:val="%1"/>
      <w:lvlJc w:val="left"/>
      <w:pPr>
        <w:tabs>
          <w:tab w:val="num" w:leader="none" w:pos="576"/>
        </w:tabs>
        <w:ind w:left="576" w:hanging="360"/>
      </w:pPr>
      <w:rPr>
        <w:rFonts w:hint="default" w:ascii="ＭＳ 明朝" w:hAnsi="ＭＳ 明朝" w:eastAsia="ＭＳ 明朝"/>
        <w:dstrike w:val="0"/>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8">
    <w:nsid w:val="00000009"/>
    <w:multiLevelType w:val="hybridMultilevel"/>
    <w:tmpl w:val="7A462D52"/>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9">
    <w:nsid w:val="0000000A"/>
    <w:multiLevelType w:val="hybridMultilevel"/>
    <w:tmpl w:val="BA0CF220"/>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10">
    <w:nsid w:val="0000000B"/>
    <w:multiLevelType w:val="hybridMultilevel"/>
    <w:tmpl w:val="1654E888"/>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11">
    <w:nsid w:val="0000000C"/>
    <w:multiLevelType w:val="hybridMultilevel"/>
    <w:tmpl w:val="9866EC0E"/>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12">
    <w:nsid w:val="0000000D"/>
    <w:multiLevelType w:val="hybridMultilevel"/>
    <w:tmpl w:val="05224D3A"/>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13">
    <w:nsid w:val="0000000E"/>
    <w:multiLevelType w:val="hybridMultilevel"/>
    <w:tmpl w:val="1F44E3F0"/>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14">
    <w:nsid w:val="0000000F"/>
    <w:multiLevelType w:val="hybridMultilevel"/>
    <w:tmpl w:val="53CE7D3E"/>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1260"/>
        </w:tabs>
        <w:ind w:left="1260" w:hanging="420"/>
      </w:pPr>
    </w:lvl>
    <w:lvl w:ilvl="2" w:tplc="00000000">
      <w:start w:val="1"/>
      <w:numFmt w:val="decimalEnclosedCircle"/>
      <w:lvlText w:val="%3"/>
      <w:lvlJc w:val="left"/>
      <w:pPr>
        <w:tabs>
          <w:tab w:val="num" w:leader="none" w:pos="1680"/>
        </w:tabs>
        <w:ind w:left="1680" w:hanging="420"/>
      </w:pPr>
    </w:lvl>
    <w:lvl w:ilvl="3" w:tplc="00000000">
      <w:start w:val="1"/>
      <w:numFmt w:val="decimal"/>
      <w:lvlText w:val="%4."/>
      <w:lvlJc w:val="left"/>
      <w:pPr>
        <w:tabs>
          <w:tab w:val="num" w:leader="none" w:pos="2100"/>
        </w:tabs>
        <w:ind w:left="2100" w:hanging="420"/>
      </w:pPr>
    </w:lvl>
    <w:lvl w:ilvl="4" w:tplc="00000000">
      <w:start w:val="1"/>
      <w:numFmt w:val="aiueoFullWidth"/>
      <w:lvlText w:val="(%5)"/>
      <w:lvlJc w:val="left"/>
      <w:pPr>
        <w:tabs>
          <w:tab w:val="num" w:leader="none" w:pos="2520"/>
        </w:tabs>
        <w:ind w:left="2520" w:hanging="420"/>
      </w:pPr>
    </w:lvl>
    <w:lvl w:ilvl="5" w:tplc="00000000">
      <w:start w:val="1"/>
      <w:numFmt w:val="decimalEnclosedCircle"/>
      <w:lvlText w:val="%6"/>
      <w:lvlJc w:val="left"/>
      <w:pPr>
        <w:tabs>
          <w:tab w:val="num" w:leader="none" w:pos="2940"/>
        </w:tabs>
        <w:ind w:left="2940" w:hanging="420"/>
      </w:pPr>
    </w:lvl>
    <w:lvl w:ilvl="6" w:tplc="00000000">
      <w:start w:val="1"/>
      <w:numFmt w:val="decimal"/>
      <w:lvlText w:val="%7."/>
      <w:lvlJc w:val="left"/>
      <w:pPr>
        <w:tabs>
          <w:tab w:val="num" w:leader="none" w:pos="3360"/>
        </w:tabs>
        <w:ind w:left="3360" w:hanging="420"/>
      </w:pPr>
    </w:lvl>
    <w:lvl w:ilvl="7" w:tplc="00000000">
      <w:start w:val="1"/>
      <w:numFmt w:val="aiueoFullWidth"/>
      <w:lvlText w:val="(%8)"/>
      <w:lvlJc w:val="left"/>
      <w:pPr>
        <w:tabs>
          <w:tab w:val="num" w:leader="none" w:pos="3780"/>
        </w:tabs>
        <w:ind w:left="3780" w:hanging="420"/>
      </w:pPr>
    </w:lvl>
    <w:lvl w:ilvl="8" w:tplc="00000000">
      <w:start w:val="1"/>
      <w:numFmt w:val="decimalEnclosedCircle"/>
      <w:lvlText w:val="%9"/>
      <w:lvlJc w:val="left"/>
      <w:pPr>
        <w:tabs>
          <w:tab w:val="num" w:leader="none" w:pos="4200"/>
        </w:tabs>
        <w:ind w:left="4200" w:hanging="420"/>
      </w:pPr>
    </w:lvl>
  </w:abstractNum>
  <w:abstractNum w:abstractNumId="15">
    <w:nsid w:val="00000010"/>
    <w:multiLevelType w:val="hybridMultilevel"/>
    <w:tmpl w:val="705CDD70"/>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16">
    <w:nsid w:val="00000011"/>
    <w:multiLevelType w:val="hybridMultilevel"/>
    <w:tmpl w:val="B2A87D94"/>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17">
    <w:nsid w:val="00000012"/>
    <w:multiLevelType w:val="hybridMultilevel"/>
    <w:tmpl w:val="70B67390"/>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18">
    <w:nsid w:val="00000013"/>
    <w:multiLevelType w:val="hybridMultilevel"/>
    <w:tmpl w:val="734A6766"/>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19">
    <w:nsid w:val="00000014"/>
    <w:multiLevelType w:val="hybridMultilevel"/>
    <w:tmpl w:val="734A6766"/>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20">
    <w:nsid w:val="00000015"/>
    <w:multiLevelType w:val="hybridMultilevel"/>
    <w:tmpl w:val="734A6766"/>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21">
    <w:nsid w:val="00000016"/>
    <w:multiLevelType w:val="hybridMultilevel"/>
    <w:tmpl w:val="BEBEFEF6"/>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22">
    <w:nsid w:val="00000017"/>
    <w:multiLevelType w:val="hybridMultilevel"/>
    <w:tmpl w:val="A330EA2A"/>
    <w:lvl w:ilvl="0" w:tplc="00000000">
      <w:start w:val="1"/>
      <w:numFmt w:val="decimalEnclosedCircle"/>
      <w:lvlText w:val="%1"/>
      <w:lvlJc w:val="left"/>
      <w:pPr>
        <w:tabs>
          <w:tab w:val="num" w:leader="none" w:pos="578"/>
        </w:tabs>
        <w:ind w:left="578" w:hanging="362"/>
      </w:pPr>
      <w:rPr>
        <w:rFonts w:hint="eastAsia"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23">
    <w:nsid w:val="00000018"/>
    <w:multiLevelType w:val="hybridMultilevel"/>
    <w:tmpl w:val="FC42F7E0"/>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24">
    <w:nsid w:val="00000019"/>
    <w:multiLevelType w:val="hybridMultilevel"/>
    <w:tmpl w:val="B28E5D40"/>
    <w:lvl w:ilvl="0" w:tplc="00000000">
      <w:start w:val="1"/>
      <w:numFmt w:val="decimalEnclosedCircle"/>
      <w:lvlText w:val="%1"/>
      <w:lvlJc w:val="left"/>
      <w:pPr>
        <w:tabs>
          <w:tab w:val="num" w:leader="none" w:pos="578"/>
        </w:tabs>
        <w:ind w:left="578" w:hanging="362"/>
      </w:pPr>
      <w:rPr>
        <w:rFonts w:hint="eastAsia"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25">
    <w:nsid w:val="0000001A"/>
    <w:multiLevelType w:val="hybridMultilevel"/>
    <w:tmpl w:val="4BB255F2"/>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26">
    <w:nsid w:val="0000001B"/>
    <w:multiLevelType w:val="hybridMultilevel"/>
    <w:tmpl w:val="30D2638E"/>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27">
    <w:nsid w:val="0000001C"/>
    <w:multiLevelType w:val="hybridMultilevel"/>
    <w:tmpl w:val="AF027220"/>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1272"/>
        </w:tabs>
        <w:ind w:left="1272" w:hanging="420"/>
      </w:pPr>
    </w:lvl>
    <w:lvl w:ilvl="2" w:tplc="00000000">
      <w:start w:val="1"/>
      <w:numFmt w:val="decimalEnclosedCircle"/>
      <w:lvlText w:val="%3"/>
      <w:lvlJc w:val="left"/>
      <w:pPr>
        <w:tabs>
          <w:tab w:val="num" w:leader="none" w:pos="1692"/>
        </w:tabs>
        <w:ind w:left="1692" w:hanging="420"/>
      </w:pPr>
    </w:lvl>
    <w:lvl w:ilvl="3" w:tplc="00000000">
      <w:start w:val="1"/>
      <w:numFmt w:val="decimal"/>
      <w:lvlText w:val="%4."/>
      <w:lvlJc w:val="left"/>
      <w:pPr>
        <w:tabs>
          <w:tab w:val="num" w:leader="none" w:pos="2112"/>
        </w:tabs>
        <w:ind w:left="2112" w:hanging="420"/>
      </w:pPr>
    </w:lvl>
    <w:lvl w:ilvl="4" w:tplc="00000000">
      <w:start w:val="1"/>
      <w:numFmt w:val="aiueoFullWidth"/>
      <w:lvlText w:val="(%5)"/>
      <w:lvlJc w:val="left"/>
      <w:pPr>
        <w:tabs>
          <w:tab w:val="num" w:leader="none" w:pos="2532"/>
        </w:tabs>
        <w:ind w:left="2532" w:hanging="420"/>
      </w:pPr>
    </w:lvl>
    <w:lvl w:ilvl="5" w:tplc="00000000">
      <w:start w:val="1"/>
      <w:numFmt w:val="decimalEnclosedCircle"/>
      <w:lvlText w:val="%6"/>
      <w:lvlJc w:val="left"/>
      <w:pPr>
        <w:tabs>
          <w:tab w:val="num" w:leader="none" w:pos="2952"/>
        </w:tabs>
        <w:ind w:left="2952" w:hanging="420"/>
      </w:pPr>
    </w:lvl>
    <w:lvl w:ilvl="6" w:tplc="00000000">
      <w:start w:val="1"/>
      <w:numFmt w:val="decimal"/>
      <w:lvlText w:val="%7."/>
      <w:lvlJc w:val="left"/>
      <w:pPr>
        <w:tabs>
          <w:tab w:val="num" w:leader="none" w:pos="3372"/>
        </w:tabs>
        <w:ind w:left="3372" w:hanging="420"/>
      </w:pPr>
    </w:lvl>
    <w:lvl w:ilvl="7" w:tplc="00000000">
      <w:start w:val="1"/>
      <w:numFmt w:val="aiueoFullWidth"/>
      <w:lvlText w:val="(%8)"/>
      <w:lvlJc w:val="left"/>
      <w:pPr>
        <w:tabs>
          <w:tab w:val="num" w:leader="none" w:pos="3792"/>
        </w:tabs>
        <w:ind w:left="3792" w:hanging="420"/>
      </w:pPr>
    </w:lvl>
    <w:lvl w:ilvl="8" w:tplc="00000000">
      <w:start w:val="1"/>
      <w:numFmt w:val="decimalEnclosedCircle"/>
      <w:lvlText w:val="%9"/>
      <w:lvlJc w:val="left"/>
      <w:pPr>
        <w:tabs>
          <w:tab w:val="num" w:leader="none" w:pos="4212"/>
        </w:tabs>
        <w:ind w:left="4212" w:hanging="420"/>
      </w:pPr>
    </w:lvl>
  </w:abstractNum>
  <w:abstractNum w:abstractNumId="28">
    <w:nsid w:val="0000001D"/>
    <w:multiLevelType w:val="hybridMultilevel"/>
    <w:tmpl w:val="4C42124A"/>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29">
    <w:nsid w:val="0000001E"/>
    <w:multiLevelType w:val="hybridMultilevel"/>
    <w:tmpl w:val="BE6E0242"/>
    <w:lvl w:ilvl="0" w:tplc="00000000">
      <w:start w:val="1"/>
      <w:numFmt w:val="decimalEnclosedCircle"/>
      <w:lvlText w:val="%1"/>
      <w:lvlJc w:val="left"/>
      <w:pPr>
        <w:tabs>
          <w:tab w:val="num" w:leader="none" w:pos="576"/>
        </w:tabs>
        <w:ind w:left="576" w:hanging="360"/>
      </w:pPr>
      <w:rPr>
        <w:rFonts w:hint="default" w:ascii="ＭＳ 明朝" w:hAnsi="ＭＳ 明朝" w:eastAsia="ＭＳ 明朝"/>
        <w:b w:val="0"/>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30">
    <w:nsid w:val="0000001F"/>
    <w:multiLevelType w:val="hybridMultilevel"/>
    <w:tmpl w:val="54EC472C"/>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31">
    <w:nsid w:val="00000020"/>
    <w:multiLevelType w:val="hybridMultilevel"/>
    <w:tmpl w:val="D3CCCB86"/>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32">
    <w:nsid w:val="00000021"/>
    <w:multiLevelType w:val="hybridMultilevel"/>
    <w:tmpl w:val="A2808E0E"/>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33">
    <w:nsid w:val="00000022"/>
    <w:multiLevelType w:val="hybridMultilevel"/>
    <w:tmpl w:val="0F5C8332"/>
    <w:lvl w:ilvl="0" w:tplc="00000000">
      <w:start w:val="1"/>
      <w:numFmt w:val="decimalEnclosedCircle"/>
      <w:lvlText w:val="%1"/>
      <w:lvlJc w:val="left"/>
      <w:pPr>
        <w:tabs>
          <w:tab w:val="num" w:leader="none" w:pos="578"/>
        </w:tabs>
        <w:ind w:left="578" w:hanging="362"/>
      </w:pPr>
      <w:rPr>
        <w:rFonts w:hint="default" w:ascii="ＭＳ 明朝" w:hAnsi="ＭＳ 明朝" w:eastAsia="ＭＳ 明朝"/>
        <w:sz w:val="24"/>
      </w:rPr>
    </w:lvl>
    <w:lvl w:ilvl="1" w:tplc="00000000">
      <w:numFmt w:val="bullet"/>
      <w:lvlText w:val="・"/>
      <w:lvlJc w:val="left"/>
      <w:pPr>
        <w:tabs>
          <w:tab w:val="num" w:leader="none" w:pos="578"/>
        </w:tabs>
        <w:ind w:left="578" w:hanging="362"/>
      </w:pPr>
      <w:rPr>
        <w:rFonts w:hint="eastAsia" w:ascii="ＭＳ 明朝" w:hAnsi="ＭＳ 明朝" w:eastAsia="ＭＳ 明朝"/>
        <w:sz w:val="24"/>
      </w:r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34">
    <w:nsid w:val="00000023"/>
    <w:multiLevelType w:val="hybridMultilevel"/>
    <w:tmpl w:val="DC2AE3F0"/>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35">
    <w:nsid w:val="00000024"/>
    <w:multiLevelType w:val="hybridMultilevel"/>
    <w:tmpl w:val="6DAA6E76"/>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36">
    <w:nsid w:val="00000025"/>
    <w:multiLevelType w:val="hybridMultilevel"/>
    <w:tmpl w:val="F61891AE"/>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37">
    <w:nsid w:val="00000026"/>
    <w:multiLevelType w:val="hybridMultilevel"/>
    <w:tmpl w:val="3E2C7CA8"/>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38">
    <w:nsid w:val="00000027"/>
    <w:multiLevelType w:val="hybridMultilevel"/>
    <w:tmpl w:val="EC0AEF82"/>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39">
    <w:nsid w:val="00000028"/>
    <w:multiLevelType w:val="hybridMultilevel"/>
    <w:tmpl w:val="867832BA"/>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40">
    <w:nsid w:val="00000029"/>
    <w:multiLevelType w:val="hybridMultilevel"/>
    <w:tmpl w:val="A336B62E"/>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41">
    <w:nsid w:val="0000002A"/>
    <w:multiLevelType w:val="hybridMultilevel"/>
    <w:tmpl w:val="0FD6C054"/>
    <w:lvl w:ilvl="0" w:tplc="00000000">
      <w:start w:val="1"/>
      <w:numFmt w:val="decimalEnclosedCircle"/>
      <w:lvlText w:val="%1"/>
      <w:lvlJc w:val="left"/>
      <w:pPr>
        <w:tabs>
          <w:tab w:val="num" w:leader="none" w:pos="576"/>
        </w:tabs>
        <w:ind w:left="576" w:hanging="360"/>
      </w:pPr>
      <w:rPr>
        <w:rFonts w:hint="default" w:ascii="ＭＳ 明朝" w:hAnsi="ＭＳ 明朝" w:eastAsia="ＭＳ 明朝"/>
        <w:w w:val="100"/>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42">
    <w:nsid w:val="0000002B"/>
    <w:multiLevelType w:val="hybridMultilevel"/>
    <w:tmpl w:val="42B8058A"/>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43">
    <w:nsid w:val="0000002C"/>
    <w:multiLevelType w:val="hybridMultilevel"/>
    <w:tmpl w:val="0C56B506"/>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44">
    <w:nsid w:val="0000002D"/>
    <w:multiLevelType w:val="hybridMultilevel"/>
    <w:tmpl w:val="5D86798E"/>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1260"/>
        </w:tabs>
        <w:ind w:left="1260" w:hanging="420"/>
      </w:pPr>
    </w:lvl>
    <w:lvl w:ilvl="2" w:tplc="00000000">
      <w:start w:val="1"/>
      <w:numFmt w:val="decimalEnclosedCircle"/>
      <w:lvlText w:val="%3"/>
      <w:lvlJc w:val="left"/>
      <w:pPr>
        <w:tabs>
          <w:tab w:val="num" w:leader="none" w:pos="1680"/>
        </w:tabs>
        <w:ind w:left="1680" w:hanging="420"/>
      </w:pPr>
    </w:lvl>
    <w:lvl w:ilvl="3" w:tplc="00000000">
      <w:start w:val="1"/>
      <w:numFmt w:val="decimal"/>
      <w:lvlText w:val="%4."/>
      <w:lvlJc w:val="left"/>
      <w:pPr>
        <w:tabs>
          <w:tab w:val="num" w:leader="none" w:pos="2100"/>
        </w:tabs>
        <w:ind w:left="2100" w:hanging="420"/>
      </w:pPr>
    </w:lvl>
    <w:lvl w:ilvl="4" w:tplc="00000000">
      <w:start w:val="1"/>
      <w:numFmt w:val="aiueoFullWidth"/>
      <w:lvlText w:val="(%5)"/>
      <w:lvlJc w:val="left"/>
      <w:pPr>
        <w:tabs>
          <w:tab w:val="num" w:leader="none" w:pos="2520"/>
        </w:tabs>
        <w:ind w:left="2520" w:hanging="420"/>
      </w:pPr>
    </w:lvl>
    <w:lvl w:ilvl="5" w:tplc="00000000">
      <w:start w:val="1"/>
      <w:numFmt w:val="decimalEnclosedCircle"/>
      <w:lvlText w:val="%6"/>
      <w:lvlJc w:val="left"/>
      <w:pPr>
        <w:tabs>
          <w:tab w:val="num" w:leader="none" w:pos="2940"/>
        </w:tabs>
        <w:ind w:left="2940" w:hanging="420"/>
      </w:pPr>
    </w:lvl>
    <w:lvl w:ilvl="6" w:tplc="00000000">
      <w:start w:val="1"/>
      <w:numFmt w:val="decimal"/>
      <w:lvlText w:val="%7."/>
      <w:lvlJc w:val="left"/>
      <w:pPr>
        <w:tabs>
          <w:tab w:val="num" w:leader="none" w:pos="3360"/>
        </w:tabs>
        <w:ind w:left="3360" w:hanging="420"/>
      </w:pPr>
    </w:lvl>
    <w:lvl w:ilvl="7" w:tplc="00000000">
      <w:start w:val="1"/>
      <w:numFmt w:val="aiueoFullWidth"/>
      <w:lvlText w:val="(%8)"/>
      <w:lvlJc w:val="left"/>
      <w:pPr>
        <w:tabs>
          <w:tab w:val="num" w:leader="none" w:pos="3780"/>
        </w:tabs>
        <w:ind w:left="3780" w:hanging="420"/>
      </w:pPr>
    </w:lvl>
    <w:lvl w:ilvl="8" w:tplc="00000000">
      <w:start w:val="1"/>
      <w:numFmt w:val="decimalEnclosedCircle"/>
      <w:lvlText w:val="%9"/>
      <w:lvlJc w:val="left"/>
      <w:pPr>
        <w:tabs>
          <w:tab w:val="num" w:leader="none" w:pos="4200"/>
        </w:tabs>
        <w:ind w:left="4200" w:hanging="420"/>
      </w:pPr>
    </w:lvl>
  </w:abstractNum>
  <w:abstractNum w:abstractNumId="45">
    <w:nsid w:val="0000002E"/>
    <w:multiLevelType w:val="hybridMultilevel"/>
    <w:tmpl w:val="22127E4C"/>
    <w:lvl w:ilvl="0" w:tplc="00000000">
      <w:start w:val="1"/>
      <w:numFmt w:val="decimalEnclosedCircle"/>
      <w:lvlText w:val="%1"/>
      <w:lvlJc w:val="left"/>
      <w:pPr>
        <w:tabs>
          <w:tab w:val="num" w:leader="none" w:pos="868"/>
        </w:tabs>
        <w:ind w:left="868" w:hanging="426"/>
      </w:pPr>
      <w:rPr>
        <w:rFonts w:hint="default"/>
        <w:sz w:val="24"/>
      </w:rPr>
    </w:lvl>
    <w:lvl w:ilvl="1" w:tplc="00000000">
      <w:start w:val="1"/>
      <w:numFmt w:val="aiueoFullWidth"/>
      <w:lvlText w:val="(%2)"/>
      <w:lvlJc w:val="left"/>
      <w:pPr>
        <w:tabs>
          <w:tab w:val="num" w:leader="none" w:pos="1272"/>
        </w:tabs>
        <w:ind w:left="1272" w:hanging="420"/>
      </w:pPr>
    </w:lvl>
    <w:lvl w:ilvl="2" w:tplc="00000000">
      <w:start w:val="1"/>
      <w:numFmt w:val="decimalEnclosedCircle"/>
      <w:lvlText w:val="%3"/>
      <w:lvlJc w:val="left"/>
      <w:pPr>
        <w:tabs>
          <w:tab w:val="num" w:leader="none" w:pos="1692"/>
        </w:tabs>
        <w:ind w:left="1692" w:hanging="420"/>
      </w:pPr>
    </w:lvl>
    <w:lvl w:ilvl="3" w:tplc="00000000">
      <w:start w:val="1"/>
      <w:numFmt w:val="decimal"/>
      <w:lvlText w:val="%4."/>
      <w:lvlJc w:val="left"/>
      <w:pPr>
        <w:tabs>
          <w:tab w:val="num" w:leader="none" w:pos="2112"/>
        </w:tabs>
        <w:ind w:left="2112" w:hanging="420"/>
      </w:pPr>
    </w:lvl>
    <w:lvl w:ilvl="4" w:tplc="00000000">
      <w:start w:val="1"/>
      <w:numFmt w:val="aiueoFullWidth"/>
      <w:lvlText w:val="(%5)"/>
      <w:lvlJc w:val="left"/>
      <w:pPr>
        <w:tabs>
          <w:tab w:val="num" w:leader="none" w:pos="2532"/>
        </w:tabs>
        <w:ind w:left="2532" w:hanging="420"/>
      </w:pPr>
    </w:lvl>
    <w:lvl w:ilvl="5" w:tplc="00000000">
      <w:start w:val="1"/>
      <w:numFmt w:val="decimalEnclosedCircle"/>
      <w:lvlText w:val="%6"/>
      <w:lvlJc w:val="left"/>
      <w:pPr>
        <w:tabs>
          <w:tab w:val="num" w:leader="none" w:pos="2952"/>
        </w:tabs>
        <w:ind w:left="2952" w:hanging="420"/>
      </w:pPr>
    </w:lvl>
    <w:lvl w:ilvl="6" w:tplc="00000000">
      <w:start w:val="1"/>
      <w:numFmt w:val="decimal"/>
      <w:lvlText w:val="%7."/>
      <w:lvlJc w:val="left"/>
      <w:pPr>
        <w:tabs>
          <w:tab w:val="num" w:leader="none" w:pos="3372"/>
        </w:tabs>
        <w:ind w:left="3372" w:hanging="420"/>
      </w:pPr>
    </w:lvl>
    <w:lvl w:ilvl="7" w:tplc="00000000">
      <w:start w:val="1"/>
      <w:numFmt w:val="aiueoFullWidth"/>
      <w:lvlText w:val="(%8)"/>
      <w:lvlJc w:val="left"/>
      <w:pPr>
        <w:tabs>
          <w:tab w:val="num" w:leader="none" w:pos="3792"/>
        </w:tabs>
        <w:ind w:left="3792" w:hanging="420"/>
      </w:pPr>
    </w:lvl>
    <w:lvl w:ilvl="8" w:tplc="00000000">
      <w:start w:val="1"/>
      <w:numFmt w:val="decimalEnclosedCircle"/>
      <w:lvlText w:val="%9"/>
      <w:lvlJc w:val="left"/>
      <w:pPr>
        <w:tabs>
          <w:tab w:val="num" w:leader="none" w:pos="4212"/>
        </w:tabs>
        <w:ind w:left="4212" w:hanging="420"/>
      </w:pPr>
    </w:lvl>
  </w:abstractNum>
  <w:abstractNum w:abstractNumId="46">
    <w:nsid w:val="0000002F"/>
    <w:multiLevelType w:val="hybridMultilevel"/>
    <w:tmpl w:val="AE321E94"/>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47">
    <w:nsid w:val="00000030"/>
    <w:multiLevelType w:val="hybridMultilevel"/>
    <w:tmpl w:val="A266CB14"/>
    <w:lvl w:ilvl="0" w:tplc="00000000">
      <w:start w:val="1"/>
      <w:numFmt w:val="decimalEnclosedCircle"/>
      <w:lvlText w:val="%1"/>
      <w:lvlJc w:val="left"/>
      <w:pPr>
        <w:tabs>
          <w:tab w:val="num" w:leader="none" w:pos="576"/>
        </w:tabs>
        <w:ind w:left="576" w:hanging="360"/>
      </w:pPr>
      <w:rPr>
        <w:rFonts w:hint="default" w:ascii="ＭＳ 明朝" w:hAnsi="ＭＳ 明朝" w:eastAsia="ＭＳ 明朝"/>
        <w:b w:val="0"/>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48">
    <w:nsid w:val="00000031"/>
    <w:multiLevelType w:val="hybridMultilevel"/>
    <w:tmpl w:val="4692B308"/>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49">
    <w:nsid w:val="00000032"/>
    <w:multiLevelType w:val="hybridMultilevel"/>
    <w:tmpl w:val="A432B558"/>
    <w:lvl w:ilvl="0" w:tplc="00000000">
      <w:start w:val="1"/>
      <w:numFmt w:val="decimalEnclosedCircle"/>
      <w:lvlText w:val="%1"/>
      <w:lvlJc w:val="left"/>
      <w:pPr>
        <w:tabs>
          <w:tab w:val="num" w:leader="none" w:pos="868"/>
        </w:tabs>
        <w:ind w:left="868" w:hanging="426"/>
      </w:pPr>
      <w:rPr>
        <w:rFonts w:hint="default"/>
        <w:sz w:val="24"/>
      </w:rPr>
    </w:lvl>
    <w:lvl w:ilvl="1" w:tplc="00000000">
      <w:start w:val="1"/>
      <w:numFmt w:val="aiueoFullWidth"/>
      <w:lvlText w:val="(%2)"/>
      <w:lvlJc w:val="left"/>
      <w:pPr>
        <w:tabs>
          <w:tab w:val="num" w:leader="none" w:pos="1272"/>
        </w:tabs>
        <w:ind w:left="1272" w:hanging="420"/>
      </w:pPr>
    </w:lvl>
    <w:lvl w:ilvl="2" w:tplc="00000000">
      <w:start w:val="1"/>
      <w:numFmt w:val="decimalEnclosedCircle"/>
      <w:lvlText w:val="%3"/>
      <w:lvlJc w:val="left"/>
      <w:pPr>
        <w:tabs>
          <w:tab w:val="num" w:leader="none" w:pos="1692"/>
        </w:tabs>
        <w:ind w:left="1692" w:hanging="420"/>
      </w:pPr>
    </w:lvl>
    <w:lvl w:ilvl="3" w:tplc="00000000">
      <w:start w:val="1"/>
      <w:numFmt w:val="decimal"/>
      <w:lvlText w:val="%4."/>
      <w:lvlJc w:val="left"/>
      <w:pPr>
        <w:tabs>
          <w:tab w:val="num" w:leader="none" w:pos="2112"/>
        </w:tabs>
        <w:ind w:left="2112" w:hanging="420"/>
      </w:pPr>
    </w:lvl>
    <w:lvl w:ilvl="4" w:tplc="00000000">
      <w:start w:val="1"/>
      <w:numFmt w:val="aiueoFullWidth"/>
      <w:lvlText w:val="(%5)"/>
      <w:lvlJc w:val="left"/>
      <w:pPr>
        <w:tabs>
          <w:tab w:val="num" w:leader="none" w:pos="2532"/>
        </w:tabs>
        <w:ind w:left="2532" w:hanging="420"/>
      </w:pPr>
    </w:lvl>
    <w:lvl w:ilvl="5" w:tplc="00000000">
      <w:start w:val="1"/>
      <w:numFmt w:val="decimalEnclosedCircle"/>
      <w:lvlText w:val="%6"/>
      <w:lvlJc w:val="left"/>
      <w:pPr>
        <w:tabs>
          <w:tab w:val="num" w:leader="none" w:pos="2952"/>
        </w:tabs>
        <w:ind w:left="2952" w:hanging="420"/>
      </w:pPr>
    </w:lvl>
    <w:lvl w:ilvl="6" w:tplc="00000000">
      <w:start w:val="1"/>
      <w:numFmt w:val="decimal"/>
      <w:lvlText w:val="%7."/>
      <w:lvlJc w:val="left"/>
      <w:pPr>
        <w:tabs>
          <w:tab w:val="num" w:leader="none" w:pos="3372"/>
        </w:tabs>
        <w:ind w:left="3372" w:hanging="420"/>
      </w:pPr>
    </w:lvl>
    <w:lvl w:ilvl="7" w:tplc="00000000">
      <w:start w:val="1"/>
      <w:numFmt w:val="aiueoFullWidth"/>
      <w:lvlText w:val="(%8)"/>
      <w:lvlJc w:val="left"/>
      <w:pPr>
        <w:tabs>
          <w:tab w:val="num" w:leader="none" w:pos="3792"/>
        </w:tabs>
        <w:ind w:left="3792" w:hanging="420"/>
      </w:pPr>
    </w:lvl>
    <w:lvl w:ilvl="8" w:tplc="00000000">
      <w:start w:val="1"/>
      <w:numFmt w:val="decimalEnclosedCircle"/>
      <w:lvlText w:val="%9"/>
      <w:lvlJc w:val="left"/>
      <w:pPr>
        <w:tabs>
          <w:tab w:val="num" w:leader="none" w:pos="4212"/>
        </w:tabs>
        <w:ind w:left="4212" w:hanging="420"/>
      </w:pPr>
    </w:lvl>
  </w:abstractNum>
  <w:abstractNum w:abstractNumId="50">
    <w:nsid w:val="00000033"/>
    <w:multiLevelType w:val="hybridMultilevel"/>
    <w:tmpl w:val="4748E62A"/>
    <w:lvl w:ilvl="0" w:tplc="00000000">
      <w:start w:val="1"/>
      <w:numFmt w:val="decimalEnclosedCircle"/>
      <w:lvlText w:val="%1"/>
      <w:lvlJc w:val="left"/>
      <w:pPr>
        <w:tabs>
          <w:tab w:val="num" w:leader="none" w:pos="868"/>
        </w:tabs>
        <w:ind w:left="868" w:hanging="426"/>
      </w:pPr>
      <w:rPr>
        <w:rFonts w:hint="default"/>
        <w:sz w:val="24"/>
      </w:rPr>
    </w:lvl>
    <w:lvl w:ilvl="1" w:tplc="00000000">
      <w:start w:val="1"/>
      <w:numFmt w:val="aiueoFullWidth"/>
      <w:lvlText w:val="(%2)"/>
      <w:lvlJc w:val="left"/>
      <w:pPr>
        <w:tabs>
          <w:tab w:val="num" w:leader="none" w:pos="1272"/>
        </w:tabs>
        <w:ind w:left="1272" w:hanging="420"/>
      </w:pPr>
    </w:lvl>
    <w:lvl w:ilvl="2" w:tplc="00000000">
      <w:start w:val="1"/>
      <w:numFmt w:val="decimalEnclosedCircle"/>
      <w:lvlText w:val="%3"/>
      <w:lvlJc w:val="left"/>
      <w:pPr>
        <w:tabs>
          <w:tab w:val="num" w:leader="none" w:pos="1692"/>
        </w:tabs>
        <w:ind w:left="1692" w:hanging="420"/>
      </w:pPr>
    </w:lvl>
    <w:lvl w:ilvl="3" w:tplc="00000000">
      <w:start w:val="1"/>
      <w:numFmt w:val="decimal"/>
      <w:lvlText w:val="%4."/>
      <w:lvlJc w:val="left"/>
      <w:pPr>
        <w:tabs>
          <w:tab w:val="num" w:leader="none" w:pos="2112"/>
        </w:tabs>
        <w:ind w:left="2112" w:hanging="420"/>
      </w:pPr>
    </w:lvl>
    <w:lvl w:ilvl="4" w:tplc="00000000">
      <w:start w:val="1"/>
      <w:numFmt w:val="aiueoFullWidth"/>
      <w:lvlText w:val="(%5)"/>
      <w:lvlJc w:val="left"/>
      <w:pPr>
        <w:tabs>
          <w:tab w:val="num" w:leader="none" w:pos="2532"/>
        </w:tabs>
        <w:ind w:left="2532" w:hanging="420"/>
      </w:pPr>
    </w:lvl>
    <w:lvl w:ilvl="5" w:tplc="00000000">
      <w:start w:val="1"/>
      <w:numFmt w:val="decimalEnclosedCircle"/>
      <w:lvlText w:val="%6"/>
      <w:lvlJc w:val="left"/>
      <w:pPr>
        <w:tabs>
          <w:tab w:val="num" w:leader="none" w:pos="2952"/>
        </w:tabs>
        <w:ind w:left="2952" w:hanging="420"/>
      </w:pPr>
    </w:lvl>
    <w:lvl w:ilvl="6" w:tplc="00000000">
      <w:start w:val="1"/>
      <w:numFmt w:val="decimal"/>
      <w:lvlText w:val="%7."/>
      <w:lvlJc w:val="left"/>
      <w:pPr>
        <w:tabs>
          <w:tab w:val="num" w:leader="none" w:pos="3372"/>
        </w:tabs>
        <w:ind w:left="3372" w:hanging="420"/>
      </w:pPr>
    </w:lvl>
    <w:lvl w:ilvl="7" w:tplc="00000000">
      <w:start w:val="1"/>
      <w:numFmt w:val="aiueoFullWidth"/>
      <w:lvlText w:val="(%8)"/>
      <w:lvlJc w:val="left"/>
      <w:pPr>
        <w:tabs>
          <w:tab w:val="num" w:leader="none" w:pos="3792"/>
        </w:tabs>
        <w:ind w:left="3792" w:hanging="420"/>
      </w:pPr>
    </w:lvl>
    <w:lvl w:ilvl="8" w:tplc="00000000">
      <w:start w:val="1"/>
      <w:numFmt w:val="decimalEnclosedCircle"/>
      <w:lvlText w:val="%9"/>
      <w:lvlJc w:val="left"/>
      <w:pPr>
        <w:tabs>
          <w:tab w:val="num" w:leader="none" w:pos="4212"/>
        </w:tabs>
        <w:ind w:left="4212" w:hanging="420"/>
      </w:pPr>
    </w:lvl>
  </w:abstractNum>
  <w:abstractNum w:abstractNumId="51">
    <w:nsid w:val="00000034"/>
    <w:multiLevelType w:val="hybridMultilevel"/>
    <w:tmpl w:val="75188E44"/>
    <w:lvl w:ilvl="0" w:tplc="00000000">
      <w:start w:val="1"/>
      <w:numFmt w:val="decimalEnclosedCircle"/>
      <w:lvlText w:val="%1"/>
      <w:lvlJc w:val="left"/>
      <w:pPr>
        <w:tabs>
          <w:tab w:val="num" w:leader="none" w:pos="868"/>
        </w:tabs>
        <w:ind w:left="868" w:hanging="426"/>
      </w:pPr>
      <w:rPr>
        <w:rFonts w:hint="default"/>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52">
    <w:nsid w:val="00000035"/>
    <w:multiLevelType w:val="hybridMultilevel"/>
    <w:tmpl w:val="C1A66F66"/>
    <w:lvl w:ilvl="0" w:tplc="00000000">
      <w:start w:val="1"/>
      <w:numFmt w:val="decimalEnclosedCircle"/>
      <w:lvlText w:val="%1"/>
      <w:lvlJc w:val="left"/>
      <w:pPr>
        <w:tabs>
          <w:tab w:val="num" w:leader="none" w:pos="868"/>
        </w:tabs>
        <w:ind w:left="868" w:hanging="426"/>
      </w:pPr>
      <w:rPr>
        <w:rFonts w:hint="default"/>
        <w:sz w:val="24"/>
      </w:rPr>
    </w:lvl>
    <w:lvl w:ilvl="1" w:tplc="00000000">
      <w:start w:val="1"/>
      <w:numFmt w:val="aiueoFullWidth"/>
      <w:lvlText w:val="(%2)"/>
      <w:lvlJc w:val="left"/>
      <w:pPr>
        <w:tabs>
          <w:tab w:val="num" w:leader="none" w:pos="1272"/>
        </w:tabs>
        <w:ind w:left="1272" w:hanging="420"/>
      </w:pPr>
    </w:lvl>
    <w:lvl w:ilvl="2" w:tplc="00000000">
      <w:start w:val="1"/>
      <w:numFmt w:val="decimalEnclosedCircle"/>
      <w:lvlText w:val="%3"/>
      <w:lvlJc w:val="left"/>
      <w:pPr>
        <w:tabs>
          <w:tab w:val="num" w:leader="none" w:pos="1692"/>
        </w:tabs>
        <w:ind w:left="1692" w:hanging="420"/>
      </w:pPr>
    </w:lvl>
    <w:lvl w:ilvl="3" w:tplc="00000000">
      <w:start w:val="1"/>
      <w:numFmt w:val="decimal"/>
      <w:lvlText w:val="%4."/>
      <w:lvlJc w:val="left"/>
      <w:pPr>
        <w:tabs>
          <w:tab w:val="num" w:leader="none" w:pos="2112"/>
        </w:tabs>
        <w:ind w:left="2112" w:hanging="420"/>
      </w:pPr>
    </w:lvl>
    <w:lvl w:ilvl="4" w:tplc="00000000">
      <w:start w:val="1"/>
      <w:numFmt w:val="aiueoFullWidth"/>
      <w:lvlText w:val="(%5)"/>
      <w:lvlJc w:val="left"/>
      <w:pPr>
        <w:tabs>
          <w:tab w:val="num" w:leader="none" w:pos="2532"/>
        </w:tabs>
        <w:ind w:left="2532" w:hanging="420"/>
      </w:pPr>
    </w:lvl>
    <w:lvl w:ilvl="5" w:tplc="00000000">
      <w:start w:val="1"/>
      <w:numFmt w:val="decimalEnclosedCircle"/>
      <w:lvlText w:val="%6"/>
      <w:lvlJc w:val="left"/>
      <w:pPr>
        <w:tabs>
          <w:tab w:val="num" w:leader="none" w:pos="2952"/>
        </w:tabs>
        <w:ind w:left="2952" w:hanging="420"/>
      </w:pPr>
    </w:lvl>
    <w:lvl w:ilvl="6" w:tplc="00000000">
      <w:start w:val="1"/>
      <w:numFmt w:val="decimal"/>
      <w:lvlText w:val="%7."/>
      <w:lvlJc w:val="left"/>
      <w:pPr>
        <w:tabs>
          <w:tab w:val="num" w:leader="none" w:pos="3372"/>
        </w:tabs>
        <w:ind w:left="3372" w:hanging="420"/>
      </w:pPr>
    </w:lvl>
    <w:lvl w:ilvl="7" w:tplc="00000000">
      <w:start w:val="1"/>
      <w:numFmt w:val="aiueoFullWidth"/>
      <w:lvlText w:val="(%8)"/>
      <w:lvlJc w:val="left"/>
      <w:pPr>
        <w:tabs>
          <w:tab w:val="num" w:leader="none" w:pos="3792"/>
        </w:tabs>
        <w:ind w:left="3792" w:hanging="420"/>
      </w:pPr>
    </w:lvl>
    <w:lvl w:ilvl="8" w:tplc="00000000">
      <w:start w:val="1"/>
      <w:numFmt w:val="decimalEnclosedCircle"/>
      <w:lvlText w:val="%9"/>
      <w:lvlJc w:val="left"/>
      <w:pPr>
        <w:tabs>
          <w:tab w:val="num" w:leader="none" w:pos="4212"/>
        </w:tabs>
        <w:ind w:left="4212" w:hanging="420"/>
      </w:pPr>
    </w:lvl>
  </w:abstractNum>
  <w:abstractNum w:abstractNumId="53">
    <w:nsid w:val="00000036"/>
    <w:multiLevelType w:val="hybridMultilevel"/>
    <w:tmpl w:val="7430BC00"/>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1272"/>
        </w:tabs>
        <w:ind w:left="1272" w:hanging="420"/>
      </w:pPr>
    </w:lvl>
    <w:lvl w:ilvl="2" w:tplc="00000000">
      <w:start w:val="1"/>
      <w:numFmt w:val="decimalEnclosedCircle"/>
      <w:lvlText w:val="%3"/>
      <w:lvlJc w:val="left"/>
      <w:pPr>
        <w:tabs>
          <w:tab w:val="num" w:leader="none" w:pos="1692"/>
        </w:tabs>
        <w:ind w:left="1692" w:hanging="420"/>
      </w:pPr>
    </w:lvl>
    <w:lvl w:ilvl="3" w:tplc="00000000">
      <w:start w:val="1"/>
      <w:numFmt w:val="decimal"/>
      <w:lvlText w:val="%4."/>
      <w:lvlJc w:val="left"/>
      <w:pPr>
        <w:tabs>
          <w:tab w:val="num" w:leader="none" w:pos="2112"/>
        </w:tabs>
        <w:ind w:left="2112" w:hanging="420"/>
      </w:pPr>
    </w:lvl>
    <w:lvl w:ilvl="4" w:tplc="00000000">
      <w:start w:val="1"/>
      <w:numFmt w:val="aiueoFullWidth"/>
      <w:lvlText w:val="(%5)"/>
      <w:lvlJc w:val="left"/>
      <w:pPr>
        <w:tabs>
          <w:tab w:val="num" w:leader="none" w:pos="2532"/>
        </w:tabs>
        <w:ind w:left="2532" w:hanging="420"/>
      </w:pPr>
    </w:lvl>
    <w:lvl w:ilvl="5" w:tplc="00000000">
      <w:start w:val="1"/>
      <w:numFmt w:val="decimalEnclosedCircle"/>
      <w:lvlText w:val="%6"/>
      <w:lvlJc w:val="left"/>
      <w:pPr>
        <w:tabs>
          <w:tab w:val="num" w:leader="none" w:pos="2952"/>
        </w:tabs>
        <w:ind w:left="2952" w:hanging="420"/>
      </w:pPr>
    </w:lvl>
    <w:lvl w:ilvl="6" w:tplc="00000000">
      <w:start w:val="1"/>
      <w:numFmt w:val="decimal"/>
      <w:lvlText w:val="%7."/>
      <w:lvlJc w:val="left"/>
      <w:pPr>
        <w:tabs>
          <w:tab w:val="num" w:leader="none" w:pos="3372"/>
        </w:tabs>
        <w:ind w:left="3372" w:hanging="420"/>
      </w:pPr>
    </w:lvl>
    <w:lvl w:ilvl="7" w:tplc="00000000">
      <w:start w:val="1"/>
      <w:numFmt w:val="aiueoFullWidth"/>
      <w:lvlText w:val="(%8)"/>
      <w:lvlJc w:val="left"/>
      <w:pPr>
        <w:tabs>
          <w:tab w:val="num" w:leader="none" w:pos="3792"/>
        </w:tabs>
        <w:ind w:left="3792" w:hanging="420"/>
      </w:pPr>
    </w:lvl>
    <w:lvl w:ilvl="8" w:tplc="00000000">
      <w:start w:val="1"/>
      <w:numFmt w:val="decimalEnclosedCircle"/>
      <w:lvlText w:val="%9"/>
      <w:lvlJc w:val="left"/>
      <w:pPr>
        <w:tabs>
          <w:tab w:val="num" w:leader="none" w:pos="4212"/>
        </w:tabs>
        <w:ind w:left="4212" w:hanging="420"/>
      </w:pPr>
    </w:lvl>
  </w:abstractNum>
  <w:abstractNum w:abstractNumId="54">
    <w:nsid w:val="00000037"/>
    <w:multiLevelType w:val="hybridMultilevel"/>
    <w:tmpl w:val="D3EA39E6"/>
    <w:lvl w:ilvl="0" w:tplc="00000000">
      <w:numFmt w:val="bullet"/>
      <w:lvlText w:val="●"/>
      <w:lvlJc w:val="left"/>
      <w:pPr>
        <w:tabs>
          <w:tab w:val="num" w:leader="none" w:pos="576"/>
        </w:tabs>
        <w:ind w:left="576" w:hanging="360"/>
      </w:pPr>
      <w:rPr>
        <w:rFonts w:hint="eastAsia" w:ascii="ＭＳ 明朝" w:hAnsi="ＭＳ 明朝" w:eastAsia="ＭＳ 明朝"/>
        <w:color w:val="auto"/>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55">
    <w:nsid w:val="00000038"/>
    <w:multiLevelType w:val="hybridMultilevel"/>
    <w:tmpl w:val="43A0AB5E"/>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56">
    <w:nsid w:val="00000039"/>
    <w:multiLevelType w:val="hybridMultilevel"/>
    <w:tmpl w:val="0E46E7BE"/>
    <w:lvl w:ilvl="0" w:tplc="00000000">
      <w:numFmt w:val="bullet"/>
      <w:lvlText w:val="●"/>
      <w:lvlJc w:val="left"/>
      <w:pPr>
        <w:tabs>
          <w:tab w:val="num" w:leader="none" w:pos="576"/>
        </w:tabs>
        <w:ind w:left="576" w:hanging="360"/>
      </w:pPr>
      <w:rPr>
        <w:rFonts w:hint="eastAsia" w:ascii="ＭＳ 明朝" w:hAnsi="ＭＳ 明朝" w:eastAsia="ＭＳ 明朝"/>
        <w:color w:val="auto"/>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57">
    <w:nsid w:val="0000003A"/>
    <w:multiLevelType w:val="hybridMultilevel"/>
    <w:tmpl w:val="052D560C"/>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58">
    <w:nsid w:val="0000003B"/>
    <w:multiLevelType w:val="hybridMultilevel"/>
    <w:tmpl w:val="57B7623A"/>
    <w:lvl w:ilvl="0" w:tplc="00000000">
      <w:start w:val="1"/>
      <w:numFmt w:val="decimalEnclosedCircle"/>
      <w:lvlText w:val="%1"/>
      <w:lvlJc w:val="left"/>
      <w:pPr>
        <w:tabs>
          <w:tab w:val="num" w:leader="none" w:pos="576"/>
        </w:tabs>
        <w:ind w:left="576" w:hanging="360"/>
      </w:pPr>
      <w:rPr>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59">
    <w:nsid w:val="0000003C"/>
    <w:multiLevelType w:val="hybridMultilevel"/>
    <w:tmpl w:val="EFD2F66E"/>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60">
    <w:nsid w:val="0000003D"/>
    <w:multiLevelType w:val="hybridMultilevel"/>
    <w:tmpl w:val="B1CEAC30"/>
    <w:lvl w:ilvl="0" w:tplc="00000000">
      <w:start w:val="1"/>
      <w:numFmt w:val="decimalEnclosedCircle"/>
      <w:lvlText w:val="%1"/>
      <w:lvlJc w:val="left"/>
      <w:pPr>
        <w:tabs>
          <w:tab w:val="num" w:leader="none" w:pos="576"/>
        </w:tabs>
        <w:ind w:left="576" w:hanging="360"/>
      </w:pPr>
      <w:rPr>
        <w:rFonts w:hint="default"/>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61">
    <w:nsid w:val="0000003E"/>
    <w:multiLevelType w:val="hybridMultilevel"/>
    <w:tmpl w:val="6B5C1A8C"/>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62">
    <w:nsid w:val="0000003F"/>
    <w:multiLevelType w:val="hybridMultilevel"/>
    <w:tmpl w:val="1D0CDFB6"/>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63">
    <w:nsid w:val="00000040"/>
    <w:multiLevelType w:val="hybridMultilevel"/>
    <w:tmpl w:val="BA8E8DF2"/>
    <w:lvl w:ilvl="0" w:tplc="00000000">
      <w:start w:val="1"/>
      <w:numFmt w:val="decimalEnclosedCircle"/>
      <w:lvlText w:val="%1"/>
      <w:lvlJc w:val="left"/>
      <w:pPr>
        <w:tabs>
          <w:tab w:val="num" w:leader="none" w:pos="868"/>
        </w:tabs>
        <w:ind w:left="868" w:hanging="426"/>
      </w:pPr>
      <w:rPr>
        <w:rFonts w:hint="default"/>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64">
    <w:nsid w:val="00000041"/>
    <w:multiLevelType w:val="hybridMultilevel"/>
    <w:tmpl w:val="0BA83F4E"/>
    <w:lvl w:ilvl="0" w:tplc="00000000">
      <w:start w:val="1"/>
      <w:numFmt w:val="decimalEnclosedCircle"/>
      <w:lvlText w:val="%1"/>
      <w:lvlJc w:val="left"/>
      <w:pPr>
        <w:tabs>
          <w:tab w:val="num" w:leader="none" w:pos="576"/>
        </w:tabs>
        <w:ind w:left="576" w:hanging="360"/>
      </w:pPr>
      <w:rPr>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65">
    <w:nsid w:val="00000042"/>
    <w:multiLevelType w:val="hybridMultilevel"/>
    <w:tmpl w:val="227E990E"/>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66">
    <w:nsid w:val="00000043"/>
    <w:multiLevelType w:val="hybridMultilevel"/>
    <w:tmpl w:val="4F70DF18"/>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67">
    <w:nsid w:val="00000044"/>
    <w:multiLevelType w:val="hybridMultilevel"/>
    <w:tmpl w:val="62549A4A"/>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68">
    <w:nsid w:val="00000045"/>
    <w:multiLevelType w:val="hybridMultilevel"/>
    <w:tmpl w:val="3849D136"/>
    <w:lvl w:ilvl="0" w:tplc="00000000">
      <w:start w:val="1"/>
      <w:numFmt w:val="decimalEnclosedCircle"/>
      <w:lvlText w:val="%1"/>
      <w:lvlJc w:val="left"/>
      <w:pPr>
        <w:tabs>
          <w:tab w:val="num" w:leader="none" w:pos="576"/>
        </w:tabs>
        <w:ind w:left="576" w:hanging="360"/>
      </w:pPr>
      <w:rPr>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69">
    <w:nsid w:val="00000046"/>
    <w:multiLevelType w:val="hybridMultilevel"/>
    <w:tmpl w:val="E3ACE9EA"/>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70">
    <w:nsid w:val="00000047"/>
    <w:multiLevelType w:val="hybridMultilevel"/>
    <w:tmpl w:val="FF0BBD16"/>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71">
    <w:nsid w:val="00000048"/>
    <w:multiLevelType w:val="hybridMultilevel"/>
    <w:tmpl w:val="692A065E"/>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72">
    <w:nsid w:val="00000049"/>
    <w:multiLevelType w:val="hybridMultilevel"/>
    <w:tmpl w:val="B5E248EC"/>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73">
    <w:nsid w:val="0000004A"/>
    <w:multiLevelType w:val="hybridMultilevel"/>
    <w:tmpl w:val="044296B8"/>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74">
    <w:nsid w:val="0000004B"/>
    <w:multiLevelType w:val="hybridMultilevel"/>
    <w:tmpl w:val="00E0DEE2"/>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75">
    <w:nsid w:val="0000004C"/>
    <w:multiLevelType w:val="hybridMultilevel"/>
    <w:tmpl w:val="3F34324E"/>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76">
    <w:nsid w:val="0000004D"/>
    <w:multiLevelType w:val="hybridMultilevel"/>
    <w:tmpl w:val="AF780416"/>
    <w:lvl w:ilvl="0" w:tplc="00000000">
      <w:start w:val="1"/>
      <w:numFmt w:val="decimalEnclosedCircle"/>
      <w:lvlText w:val="%1"/>
      <w:lvlJc w:val="left"/>
      <w:pPr>
        <w:tabs>
          <w:tab w:val="num" w:leader="none" w:pos="576"/>
        </w:tabs>
        <w:ind w:left="576" w:hanging="360"/>
      </w:pPr>
      <w:rPr>
        <w:rFonts w:hint="default"/>
        <w:sz w:val="22"/>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77">
    <w:nsid w:val="0000004E"/>
    <w:multiLevelType w:val="hybridMultilevel"/>
    <w:tmpl w:val="5F92E89E"/>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78">
    <w:nsid w:val="0000004F"/>
    <w:multiLevelType w:val="hybridMultilevel"/>
    <w:tmpl w:val="B3B0E690"/>
    <w:lvl w:ilvl="0" w:tplc="00000000">
      <w:start w:val="1"/>
      <w:numFmt w:val="decimalEnclosedCircle"/>
      <w:lvlText w:val="%1"/>
      <w:lvlJc w:val="left"/>
      <w:pPr>
        <w:tabs>
          <w:tab w:val="num" w:leader="none" w:pos="576"/>
        </w:tabs>
        <w:ind w:left="576" w:hanging="360"/>
      </w:pPr>
      <w:rPr>
        <w:rFonts w:hint="default"/>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79">
    <w:nsid w:val="00000050"/>
    <w:multiLevelType w:val="hybridMultilevel"/>
    <w:tmpl w:val="C0FAEF2A"/>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80">
    <w:nsid w:val="00000051"/>
    <w:multiLevelType w:val="hybridMultilevel"/>
    <w:tmpl w:val="8D462FC4"/>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81">
    <w:nsid w:val="00000052"/>
    <w:multiLevelType w:val="hybridMultilevel"/>
    <w:tmpl w:val="265E5F26"/>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82">
    <w:nsid w:val="00000053"/>
    <w:multiLevelType w:val="hybridMultilevel"/>
    <w:tmpl w:val="983842DC"/>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83">
    <w:nsid w:val="00000054"/>
    <w:multiLevelType w:val="hybridMultilevel"/>
    <w:tmpl w:val="8D94C8BC"/>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84">
    <w:nsid w:val="00000055"/>
    <w:multiLevelType w:val="hybridMultilevel"/>
    <w:tmpl w:val="3148014E"/>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85">
    <w:nsid w:val="00000056"/>
    <w:multiLevelType w:val="hybridMultilevel"/>
    <w:tmpl w:val="8FF40566"/>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86">
    <w:nsid w:val="00000057"/>
    <w:multiLevelType w:val="hybridMultilevel"/>
    <w:tmpl w:val="64C0B3E8"/>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87">
    <w:nsid w:val="00000058"/>
    <w:multiLevelType w:val="hybridMultilevel"/>
    <w:tmpl w:val="89309C16"/>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1425"/>
        </w:tabs>
        <w:ind w:left="1425" w:hanging="420"/>
      </w:pPr>
    </w:lvl>
    <w:lvl w:ilvl="2" w:tplc="00000000">
      <w:start w:val="1"/>
      <w:numFmt w:val="decimalEnclosedCircle"/>
      <w:lvlText w:val="%3"/>
      <w:lvlJc w:val="left"/>
      <w:pPr>
        <w:tabs>
          <w:tab w:val="num" w:leader="none" w:pos="1845"/>
        </w:tabs>
        <w:ind w:left="1845" w:hanging="420"/>
      </w:pPr>
    </w:lvl>
    <w:lvl w:ilvl="3" w:tplc="00000000">
      <w:start w:val="1"/>
      <w:numFmt w:val="decimal"/>
      <w:lvlText w:val="%4."/>
      <w:lvlJc w:val="left"/>
      <w:pPr>
        <w:tabs>
          <w:tab w:val="num" w:leader="none" w:pos="2265"/>
        </w:tabs>
        <w:ind w:left="2265" w:hanging="420"/>
      </w:pPr>
    </w:lvl>
    <w:lvl w:ilvl="4" w:tplc="00000000">
      <w:start w:val="1"/>
      <w:numFmt w:val="aiueoFullWidth"/>
      <w:lvlText w:val="(%5)"/>
      <w:lvlJc w:val="left"/>
      <w:pPr>
        <w:tabs>
          <w:tab w:val="num" w:leader="none" w:pos="2685"/>
        </w:tabs>
        <w:ind w:left="2685" w:hanging="420"/>
      </w:pPr>
    </w:lvl>
    <w:lvl w:ilvl="5" w:tplc="00000000">
      <w:start w:val="1"/>
      <w:numFmt w:val="decimalEnclosedCircle"/>
      <w:lvlText w:val="%6"/>
      <w:lvlJc w:val="left"/>
      <w:pPr>
        <w:tabs>
          <w:tab w:val="num" w:leader="none" w:pos="3105"/>
        </w:tabs>
        <w:ind w:left="3105" w:hanging="420"/>
      </w:pPr>
    </w:lvl>
    <w:lvl w:ilvl="6" w:tplc="00000000">
      <w:start w:val="1"/>
      <w:numFmt w:val="decimal"/>
      <w:lvlText w:val="%7."/>
      <w:lvlJc w:val="left"/>
      <w:pPr>
        <w:tabs>
          <w:tab w:val="num" w:leader="none" w:pos="3525"/>
        </w:tabs>
        <w:ind w:left="3525" w:hanging="420"/>
      </w:pPr>
    </w:lvl>
    <w:lvl w:ilvl="7" w:tplc="00000000">
      <w:start w:val="1"/>
      <w:numFmt w:val="aiueoFullWidth"/>
      <w:lvlText w:val="(%8)"/>
      <w:lvlJc w:val="left"/>
      <w:pPr>
        <w:tabs>
          <w:tab w:val="num" w:leader="none" w:pos="3945"/>
        </w:tabs>
        <w:ind w:left="3945" w:hanging="420"/>
      </w:pPr>
    </w:lvl>
    <w:lvl w:ilvl="8" w:tplc="00000000">
      <w:start w:val="1"/>
      <w:numFmt w:val="decimalEnclosedCircle"/>
      <w:lvlText w:val="%9"/>
      <w:lvlJc w:val="left"/>
      <w:pPr>
        <w:tabs>
          <w:tab w:val="num" w:leader="none" w:pos="4365"/>
        </w:tabs>
        <w:ind w:left="4365" w:hanging="420"/>
      </w:pPr>
    </w:lvl>
  </w:abstractNum>
  <w:abstractNum w:abstractNumId="88">
    <w:nsid w:val="00000059"/>
    <w:multiLevelType w:val="hybridMultilevel"/>
    <w:tmpl w:val="C5389680"/>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1424"/>
        </w:tabs>
        <w:ind w:left="1424" w:hanging="420"/>
      </w:pPr>
    </w:lvl>
    <w:lvl w:ilvl="2" w:tplc="00000000">
      <w:start w:val="1"/>
      <w:numFmt w:val="decimalEnclosedCircle"/>
      <w:lvlText w:val="%3"/>
      <w:lvlJc w:val="left"/>
      <w:pPr>
        <w:tabs>
          <w:tab w:val="num" w:leader="none" w:pos="1844"/>
        </w:tabs>
        <w:ind w:left="1844" w:hanging="420"/>
      </w:pPr>
    </w:lvl>
    <w:lvl w:ilvl="3" w:tplc="00000000">
      <w:start w:val="1"/>
      <w:numFmt w:val="decimal"/>
      <w:lvlText w:val="%4."/>
      <w:lvlJc w:val="left"/>
      <w:pPr>
        <w:tabs>
          <w:tab w:val="num" w:leader="none" w:pos="2264"/>
        </w:tabs>
        <w:ind w:left="2264" w:hanging="420"/>
      </w:pPr>
    </w:lvl>
    <w:lvl w:ilvl="4" w:tplc="00000000">
      <w:start w:val="1"/>
      <w:numFmt w:val="aiueoFullWidth"/>
      <w:lvlText w:val="(%5)"/>
      <w:lvlJc w:val="left"/>
      <w:pPr>
        <w:tabs>
          <w:tab w:val="num" w:leader="none" w:pos="2684"/>
        </w:tabs>
        <w:ind w:left="2684" w:hanging="420"/>
      </w:pPr>
    </w:lvl>
    <w:lvl w:ilvl="5" w:tplc="00000000">
      <w:start w:val="1"/>
      <w:numFmt w:val="decimalEnclosedCircle"/>
      <w:lvlText w:val="%6"/>
      <w:lvlJc w:val="left"/>
      <w:pPr>
        <w:tabs>
          <w:tab w:val="num" w:leader="none" w:pos="3104"/>
        </w:tabs>
        <w:ind w:left="3104" w:hanging="420"/>
      </w:pPr>
    </w:lvl>
    <w:lvl w:ilvl="6" w:tplc="00000000">
      <w:start w:val="1"/>
      <w:numFmt w:val="decimal"/>
      <w:lvlText w:val="%7."/>
      <w:lvlJc w:val="left"/>
      <w:pPr>
        <w:tabs>
          <w:tab w:val="num" w:leader="none" w:pos="3524"/>
        </w:tabs>
        <w:ind w:left="3524" w:hanging="420"/>
      </w:pPr>
    </w:lvl>
    <w:lvl w:ilvl="7" w:tplc="00000000">
      <w:start w:val="1"/>
      <w:numFmt w:val="aiueoFullWidth"/>
      <w:lvlText w:val="(%8)"/>
      <w:lvlJc w:val="left"/>
      <w:pPr>
        <w:tabs>
          <w:tab w:val="num" w:leader="none" w:pos="3944"/>
        </w:tabs>
        <w:ind w:left="3944" w:hanging="420"/>
      </w:pPr>
    </w:lvl>
    <w:lvl w:ilvl="8" w:tplc="00000000">
      <w:start w:val="1"/>
      <w:numFmt w:val="decimalEnclosedCircle"/>
      <w:lvlText w:val="%9"/>
      <w:lvlJc w:val="left"/>
      <w:pPr>
        <w:tabs>
          <w:tab w:val="num" w:leader="none" w:pos="4364"/>
        </w:tabs>
        <w:ind w:left="4364" w:hanging="420"/>
      </w:pPr>
    </w:lvl>
  </w:abstractNum>
  <w:abstractNum w:abstractNumId="89">
    <w:nsid w:val="0000005A"/>
    <w:multiLevelType w:val="hybridMultilevel"/>
    <w:tmpl w:val="5C86FC20"/>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1425"/>
        </w:tabs>
        <w:ind w:left="1425" w:hanging="420"/>
      </w:pPr>
    </w:lvl>
    <w:lvl w:ilvl="2" w:tplc="00000000">
      <w:start w:val="1"/>
      <w:numFmt w:val="decimalEnclosedCircle"/>
      <w:lvlText w:val="%3"/>
      <w:lvlJc w:val="left"/>
      <w:pPr>
        <w:tabs>
          <w:tab w:val="num" w:leader="none" w:pos="1845"/>
        </w:tabs>
        <w:ind w:left="1845" w:hanging="420"/>
      </w:pPr>
    </w:lvl>
    <w:lvl w:ilvl="3" w:tplc="00000000">
      <w:start w:val="1"/>
      <w:numFmt w:val="decimal"/>
      <w:lvlText w:val="%4."/>
      <w:lvlJc w:val="left"/>
      <w:pPr>
        <w:tabs>
          <w:tab w:val="num" w:leader="none" w:pos="2265"/>
        </w:tabs>
        <w:ind w:left="2265" w:hanging="420"/>
      </w:pPr>
    </w:lvl>
    <w:lvl w:ilvl="4" w:tplc="00000000">
      <w:start w:val="1"/>
      <w:numFmt w:val="aiueoFullWidth"/>
      <w:lvlText w:val="(%5)"/>
      <w:lvlJc w:val="left"/>
      <w:pPr>
        <w:tabs>
          <w:tab w:val="num" w:leader="none" w:pos="2685"/>
        </w:tabs>
        <w:ind w:left="2685" w:hanging="420"/>
      </w:pPr>
    </w:lvl>
    <w:lvl w:ilvl="5" w:tplc="00000000">
      <w:start w:val="1"/>
      <w:numFmt w:val="decimalEnclosedCircle"/>
      <w:lvlText w:val="%6"/>
      <w:lvlJc w:val="left"/>
      <w:pPr>
        <w:tabs>
          <w:tab w:val="num" w:leader="none" w:pos="3105"/>
        </w:tabs>
        <w:ind w:left="3105" w:hanging="420"/>
      </w:pPr>
    </w:lvl>
    <w:lvl w:ilvl="6" w:tplc="00000000">
      <w:start w:val="1"/>
      <w:numFmt w:val="decimal"/>
      <w:lvlText w:val="%7."/>
      <w:lvlJc w:val="left"/>
      <w:pPr>
        <w:tabs>
          <w:tab w:val="num" w:leader="none" w:pos="3525"/>
        </w:tabs>
        <w:ind w:left="3525" w:hanging="420"/>
      </w:pPr>
    </w:lvl>
    <w:lvl w:ilvl="7" w:tplc="00000000">
      <w:start w:val="1"/>
      <w:numFmt w:val="aiueoFullWidth"/>
      <w:lvlText w:val="(%8)"/>
      <w:lvlJc w:val="left"/>
      <w:pPr>
        <w:tabs>
          <w:tab w:val="num" w:leader="none" w:pos="3945"/>
        </w:tabs>
        <w:ind w:left="3945" w:hanging="420"/>
      </w:pPr>
    </w:lvl>
    <w:lvl w:ilvl="8" w:tplc="00000000">
      <w:start w:val="1"/>
      <w:numFmt w:val="decimalEnclosedCircle"/>
      <w:lvlText w:val="%9"/>
      <w:lvlJc w:val="left"/>
      <w:pPr>
        <w:tabs>
          <w:tab w:val="num" w:leader="none" w:pos="4365"/>
        </w:tabs>
        <w:ind w:left="4365" w:hanging="420"/>
      </w:pPr>
    </w:lvl>
  </w:abstractNum>
  <w:abstractNum w:abstractNumId="90">
    <w:nsid w:val="0000005B"/>
    <w:multiLevelType w:val="hybridMultilevel"/>
    <w:tmpl w:val="D9927072"/>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91">
    <w:nsid w:val="0000005C"/>
    <w:multiLevelType w:val="hybridMultilevel"/>
    <w:tmpl w:val="F0F81142"/>
    <w:lvl w:ilvl="0" w:tplc="00000000">
      <w:numFmt w:val="bullet"/>
      <w:lvlText w:val="●"/>
      <w:lvlJc w:val="left"/>
      <w:pPr>
        <w:tabs>
          <w:tab w:val="num" w:leader="none" w:pos="576"/>
        </w:tabs>
        <w:ind w:left="576" w:hanging="360"/>
      </w:pPr>
      <w:rPr>
        <w:rFonts w:hint="eastAsia" w:ascii="ＭＳ 明朝" w:hAnsi="ＭＳ 明朝" w:eastAsia="ＭＳ 明朝"/>
        <w:color w:val="auto"/>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92">
    <w:nsid w:val="0000005D"/>
    <w:multiLevelType w:val="hybridMultilevel"/>
    <w:tmpl w:val="9058F54E"/>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93">
    <w:nsid w:val="0000005E"/>
    <w:multiLevelType w:val="hybridMultilevel"/>
    <w:tmpl w:val="3EB04B4E"/>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94">
    <w:nsid w:val="0000005F"/>
    <w:multiLevelType w:val="hybridMultilevel"/>
    <w:tmpl w:val="9458A204"/>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95">
    <w:nsid w:val="00000060"/>
    <w:multiLevelType w:val="hybridMultilevel"/>
    <w:tmpl w:val="89F64464"/>
    <w:lvl w:ilvl="0" w:tplc="00000000">
      <w:numFmt w:val="bullet"/>
      <w:lvlText w:val="●"/>
      <w:lvlJc w:val="left"/>
      <w:pPr>
        <w:tabs>
          <w:tab w:val="num" w:leader="none" w:pos="576"/>
        </w:tabs>
        <w:ind w:left="576" w:hanging="360"/>
      </w:pPr>
      <w:rPr>
        <w:rFonts w:hint="eastAsia" w:ascii="ＭＳ 明朝" w:hAnsi="ＭＳ 明朝" w:eastAsia="ＭＳ 明朝"/>
        <w:color w:val="auto"/>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96">
    <w:nsid w:val="00000061"/>
    <w:multiLevelType w:val="hybridMultilevel"/>
    <w:tmpl w:val="352A12F0"/>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97">
    <w:nsid w:val="00000062"/>
    <w:multiLevelType w:val="hybridMultilevel"/>
    <w:tmpl w:val="413864B6"/>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98">
    <w:nsid w:val="00000063"/>
    <w:multiLevelType w:val="hybridMultilevel"/>
    <w:tmpl w:val="5746815C"/>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99">
    <w:nsid w:val="00000064"/>
    <w:multiLevelType w:val="hybridMultilevel"/>
    <w:tmpl w:val="0E3C687E"/>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100">
    <w:nsid w:val="00000065"/>
    <w:multiLevelType w:val="hybridMultilevel"/>
    <w:tmpl w:val="2BB294DA"/>
    <w:lvl w:ilvl="0" w:tplc="00000000">
      <w:numFmt w:val="bullet"/>
      <w:lvlText w:val="●"/>
      <w:lvlJc w:val="left"/>
      <w:pPr>
        <w:tabs>
          <w:tab w:val="num" w:leader="none" w:pos="576"/>
        </w:tabs>
        <w:ind w:left="576" w:hanging="360"/>
      </w:pPr>
      <w:rPr>
        <w:rFonts w:hint="eastAsia" w:ascii="ＭＳ 明朝" w:hAnsi="ＭＳ 明朝" w:eastAsia="ＭＳ 明朝"/>
        <w:color w:val="auto"/>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101">
    <w:nsid w:val="00000066"/>
    <w:multiLevelType w:val="hybridMultilevel"/>
    <w:tmpl w:val="EC90D21C"/>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102">
    <w:nsid w:val="00000067"/>
    <w:multiLevelType w:val="hybridMultilevel"/>
    <w:tmpl w:val="69AC89CC"/>
    <w:lvl w:ilvl="0" w:tplc="00000000">
      <w:start w:val="1"/>
      <w:numFmt w:val="decimalEnclosedCircle"/>
      <w:lvlText w:val="%1"/>
      <w:lvlJc w:val="left"/>
      <w:pPr>
        <w:tabs>
          <w:tab w:val="num" w:leader="none" w:pos="868"/>
        </w:tabs>
        <w:ind w:left="868" w:hanging="426"/>
      </w:pPr>
      <w:rPr>
        <w:rFonts w:hint="default" w:ascii="ＭＳ 明朝" w:hAnsi="ＭＳ 明朝" w:eastAsia="ＭＳ 明朝"/>
        <w:b w:val="0"/>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103">
    <w:nsid w:val="00000068"/>
    <w:multiLevelType w:val="hybridMultilevel"/>
    <w:tmpl w:val="FC20EB74"/>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104">
    <w:nsid w:val="00000069"/>
    <w:multiLevelType w:val="hybridMultilevel"/>
    <w:tmpl w:val="E834BB94"/>
    <w:lvl w:ilvl="0" w:tplc="00000000">
      <w:numFmt w:val="bullet"/>
      <w:lvlText w:val="●"/>
      <w:lvlJc w:val="left"/>
      <w:pPr>
        <w:tabs>
          <w:tab w:val="num" w:leader="none" w:pos="576"/>
        </w:tabs>
        <w:ind w:left="576" w:hanging="360"/>
      </w:pPr>
      <w:rPr>
        <w:rFonts w:hint="eastAsia" w:ascii="ＭＳ 明朝" w:hAnsi="ＭＳ 明朝" w:eastAsia="ＭＳ 明朝"/>
        <w:color w:val="auto"/>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abstractNum w:abstractNumId="105">
    <w:nsid w:val="0000006A"/>
    <w:multiLevelType w:val="hybridMultilevel"/>
    <w:tmpl w:val="E00EFF92"/>
    <w:lvl w:ilvl="0" w:tplc="00000000">
      <w:start w:val="1"/>
      <w:numFmt w:val="decimalEnclosedCircle"/>
      <w:lvlText w:val="%1"/>
      <w:lvlJc w:val="left"/>
      <w:pPr>
        <w:tabs>
          <w:tab w:val="num" w:leader="none" w:pos="578"/>
        </w:tabs>
        <w:ind w:left="578" w:hanging="362"/>
      </w:pPr>
      <w:rPr>
        <w:rFonts w:hint="default" w:ascii="ＭＳ 明朝" w:hAnsi="ＭＳ 明朝" w:eastAsia="ＭＳ 明朝"/>
        <w:sz w:val="24"/>
      </w:rPr>
    </w:lvl>
    <w:lvl w:ilvl="1" w:tplc="00000000">
      <w:start w:val="1"/>
      <w:numFmt w:val="aiueoFullWidth"/>
      <w:lvlText w:val="(%2)"/>
      <w:lvlJc w:val="left"/>
      <w:pPr>
        <w:tabs>
          <w:tab w:val="num" w:leader="none" w:pos="1260"/>
        </w:tabs>
        <w:ind w:left="1260" w:hanging="420"/>
      </w:pPr>
    </w:lvl>
    <w:lvl w:ilvl="2" w:tplc="00000000">
      <w:start w:val="1"/>
      <w:numFmt w:val="decimalEnclosedCircle"/>
      <w:lvlText w:val="%3"/>
      <w:lvlJc w:val="left"/>
      <w:pPr>
        <w:tabs>
          <w:tab w:val="num" w:leader="none" w:pos="1680"/>
        </w:tabs>
        <w:ind w:left="1680" w:hanging="420"/>
      </w:pPr>
    </w:lvl>
    <w:lvl w:ilvl="3" w:tplc="00000000">
      <w:start w:val="1"/>
      <w:numFmt w:val="decimal"/>
      <w:lvlText w:val="%4."/>
      <w:lvlJc w:val="left"/>
      <w:pPr>
        <w:tabs>
          <w:tab w:val="num" w:leader="none" w:pos="2100"/>
        </w:tabs>
        <w:ind w:left="2100" w:hanging="420"/>
      </w:pPr>
    </w:lvl>
    <w:lvl w:ilvl="4" w:tplc="00000000">
      <w:start w:val="1"/>
      <w:numFmt w:val="aiueoFullWidth"/>
      <w:lvlText w:val="(%5)"/>
      <w:lvlJc w:val="left"/>
      <w:pPr>
        <w:tabs>
          <w:tab w:val="num" w:leader="none" w:pos="2520"/>
        </w:tabs>
        <w:ind w:left="2520" w:hanging="420"/>
      </w:pPr>
    </w:lvl>
    <w:lvl w:ilvl="5" w:tplc="00000000">
      <w:start w:val="1"/>
      <w:numFmt w:val="decimalEnclosedCircle"/>
      <w:lvlText w:val="%6"/>
      <w:lvlJc w:val="left"/>
      <w:pPr>
        <w:tabs>
          <w:tab w:val="num" w:leader="none" w:pos="2940"/>
        </w:tabs>
        <w:ind w:left="2940" w:hanging="420"/>
      </w:pPr>
    </w:lvl>
    <w:lvl w:ilvl="6" w:tplc="00000000">
      <w:start w:val="1"/>
      <w:numFmt w:val="decimal"/>
      <w:lvlText w:val="%7."/>
      <w:lvlJc w:val="left"/>
      <w:pPr>
        <w:tabs>
          <w:tab w:val="num" w:leader="none" w:pos="3360"/>
        </w:tabs>
        <w:ind w:left="3360" w:hanging="420"/>
      </w:pPr>
    </w:lvl>
    <w:lvl w:ilvl="7" w:tplc="00000000">
      <w:start w:val="1"/>
      <w:numFmt w:val="aiueoFullWidth"/>
      <w:lvlText w:val="(%8)"/>
      <w:lvlJc w:val="left"/>
      <w:pPr>
        <w:tabs>
          <w:tab w:val="num" w:leader="none" w:pos="3780"/>
        </w:tabs>
        <w:ind w:left="3780" w:hanging="420"/>
      </w:pPr>
    </w:lvl>
    <w:lvl w:ilvl="8" w:tplc="00000000">
      <w:start w:val="1"/>
      <w:numFmt w:val="decimalEnclosedCircle"/>
      <w:lvlText w:val="%9"/>
      <w:lvlJc w:val="left"/>
      <w:pPr>
        <w:tabs>
          <w:tab w:val="num" w:leader="none" w:pos="4200"/>
        </w:tabs>
        <w:ind w:left="4200" w:hanging="420"/>
      </w:pPr>
    </w:lvl>
  </w:abstractNum>
  <w:abstractNum w:abstractNumId="106">
    <w:nsid w:val="0000006B"/>
    <w:multiLevelType w:val="hybridMultilevel"/>
    <w:tmpl w:val="B29C7D4E"/>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107">
    <w:nsid w:val="0000006C"/>
    <w:multiLevelType w:val="hybridMultilevel"/>
    <w:tmpl w:val="C6146C00"/>
    <w:lvl w:ilvl="0" w:tplc="00000000">
      <w:start w:val="1"/>
      <w:numFmt w:val="decimalEnclosedCircle"/>
      <w:lvlText w:val="%1"/>
      <w:lvlJc w:val="left"/>
      <w:pPr>
        <w:tabs>
          <w:tab w:val="num" w:leader="none" w:pos="578"/>
        </w:tabs>
        <w:ind w:left="578" w:hanging="362"/>
      </w:pPr>
      <w:rPr>
        <w:rFonts w:hint="default" w:ascii="ＭＳ 明朝" w:hAnsi="ＭＳ 明朝" w:eastAsia="ＭＳ 明朝"/>
        <w:sz w:val="24"/>
      </w:rPr>
    </w:lvl>
    <w:lvl w:ilvl="1" w:tplc="00000000">
      <w:start w:val="1"/>
      <w:numFmt w:val="aiueoFullWidth"/>
      <w:lvlText w:val="(%2)"/>
      <w:lvlJc w:val="left"/>
      <w:pPr>
        <w:tabs>
          <w:tab w:val="num" w:leader="none" w:pos="1044"/>
        </w:tabs>
        <w:ind w:left="1044" w:hanging="420"/>
      </w:pPr>
    </w:lvl>
    <w:lvl w:ilvl="2" w:tplc="00000000">
      <w:start w:val="1"/>
      <w:numFmt w:val="decimalEnclosedCircle"/>
      <w:lvlText w:val="%3"/>
      <w:lvlJc w:val="left"/>
      <w:pPr>
        <w:tabs>
          <w:tab w:val="num" w:leader="none" w:pos="1464"/>
        </w:tabs>
        <w:ind w:left="1464" w:hanging="420"/>
      </w:pPr>
    </w:lvl>
    <w:lvl w:ilvl="3" w:tplc="00000000">
      <w:start w:val="1"/>
      <w:numFmt w:val="decimal"/>
      <w:lvlText w:val="%4."/>
      <w:lvlJc w:val="left"/>
      <w:pPr>
        <w:tabs>
          <w:tab w:val="num" w:leader="none" w:pos="1884"/>
        </w:tabs>
        <w:ind w:left="1884" w:hanging="420"/>
      </w:pPr>
    </w:lvl>
    <w:lvl w:ilvl="4" w:tplc="00000000">
      <w:start w:val="1"/>
      <w:numFmt w:val="aiueoFullWidth"/>
      <w:lvlText w:val="(%5)"/>
      <w:lvlJc w:val="left"/>
      <w:pPr>
        <w:tabs>
          <w:tab w:val="num" w:leader="none" w:pos="2304"/>
        </w:tabs>
        <w:ind w:left="2304" w:hanging="420"/>
      </w:pPr>
    </w:lvl>
    <w:lvl w:ilvl="5" w:tplc="00000000">
      <w:start w:val="1"/>
      <w:numFmt w:val="decimalEnclosedCircle"/>
      <w:lvlText w:val="%6"/>
      <w:lvlJc w:val="left"/>
      <w:pPr>
        <w:tabs>
          <w:tab w:val="num" w:leader="none" w:pos="2724"/>
        </w:tabs>
        <w:ind w:left="2724" w:hanging="420"/>
      </w:pPr>
    </w:lvl>
    <w:lvl w:ilvl="6" w:tplc="00000000">
      <w:start w:val="1"/>
      <w:numFmt w:val="decimal"/>
      <w:lvlText w:val="%7."/>
      <w:lvlJc w:val="left"/>
      <w:pPr>
        <w:tabs>
          <w:tab w:val="num" w:leader="none" w:pos="3144"/>
        </w:tabs>
        <w:ind w:left="3144" w:hanging="420"/>
      </w:pPr>
    </w:lvl>
    <w:lvl w:ilvl="7" w:tplc="00000000">
      <w:start w:val="1"/>
      <w:numFmt w:val="aiueoFullWidth"/>
      <w:lvlText w:val="(%8)"/>
      <w:lvlJc w:val="left"/>
      <w:pPr>
        <w:tabs>
          <w:tab w:val="num" w:leader="none" w:pos="3564"/>
        </w:tabs>
        <w:ind w:left="3564" w:hanging="420"/>
      </w:pPr>
    </w:lvl>
    <w:lvl w:ilvl="8" w:tplc="00000000">
      <w:start w:val="1"/>
      <w:numFmt w:val="decimalEnclosedCircle"/>
      <w:lvlText w:val="%9"/>
      <w:lvlJc w:val="left"/>
      <w:pPr>
        <w:tabs>
          <w:tab w:val="num" w:leader="none" w:pos="3984"/>
        </w:tabs>
        <w:ind w:left="3984" w:hanging="420"/>
      </w:pPr>
    </w:lvl>
  </w:abstractNum>
  <w:abstractNum w:abstractNumId="108">
    <w:nsid w:val="0000006D"/>
    <w:multiLevelType w:val="hybridMultilevel"/>
    <w:tmpl w:val="B7CEF9F2"/>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109">
    <w:nsid w:val="0000006E"/>
    <w:multiLevelType w:val="hybridMultilevel"/>
    <w:tmpl w:val="E6644B94"/>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110">
    <w:nsid w:val="0000006F"/>
    <w:multiLevelType w:val="hybridMultilevel"/>
    <w:tmpl w:val="D01AEA02"/>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111">
    <w:nsid w:val="00000070"/>
    <w:multiLevelType w:val="hybridMultilevel"/>
    <w:tmpl w:val="77100EDE"/>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112">
    <w:nsid w:val="00000071"/>
    <w:multiLevelType w:val="hybridMultilevel"/>
    <w:tmpl w:val="55004C28"/>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1260"/>
        </w:tabs>
        <w:ind w:left="1260" w:hanging="420"/>
      </w:pPr>
    </w:lvl>
    <w:lvl w:ilvl="2" w:tplc="00000000">
      <w:start w:val="1"/>
      <w:numFmt w:val="decimalEnclosedCircle"/>
      <w:lvlText w:val="%3"/>
      <w:lvlJc w:val="left"/>
      <w:pPr>
        <w:tabs>
          <w:tab w:val="num" w:leader="none" w:pos="1680"/>
        </w:tabs>
        <w:ind w:left="1680" w:hanging="420"/>
      </w:pPr>
    </w:lvl>
    <w:lvl w:ilvl="3" w:tplc="00000000">
      <w:start w:val="1"/>
      <w:numFmt w:val="decimal"/>
      <w:lvlText w:val="%4."/>
      <w:lvlJc w:val="left"/>
      <w:pPr>
        <w:tabs>
          <w:tab w:val="num" w:leader="none" w:pos="2100"/>
        </w:tabs>
        <w:ind w:left="2100" w:hanging="420"/>
      </w:pPr>
    </w:lvl>
    <w:lvl w:ilvl="4" w:tplc="00000000">
      <w:start w:val="1"/>
      <w:numFmt w:val="aiueoFullWidth"/>
      <w:lvlText w:val="(%5)"/>
      <w:lvlJc w:val="left"/>
      <w:pPr>
        <w:tabs>
          <w:tab w:val="num" w:leader="none" w:pos="2520"/>
        </w:tabs>
        <w:ind w:left="2520" w:hanging="420"/>
      </w:pPr>
    </w:lvl>
    <w:lvl w:ilvl="5" w:tplc="00000000">
      <w:start w:val="1"/>
      <w:numFmt w:val="decimalEnclosedCircle"/>
      <w:lvlText w:val="%6"/>
      <w:lvlJc w:val="left"/>
      <w:pPr>
        <w:tabs>
          <w:tab w:val="num" w:leader="none" w:pos="2940"/>
        </w:tabs>
        <w:ind w:left="2940" w:hanging="420"/>
      </w:pPr>
    </w:lvl>
    <w:lvl w:ilvl="6" w:tplc="00000000">
      <w:start w:val="1"/>
      <w:numFmt w:val="decimal"/>
      <w:lvlText w:val="%7."/>
      <w:lvlJc w:val="left"/>
      <w:pPr>
        <w:tabs>
          <w:tab w:val="num" w:leader="none" w:pos="3360"/>
        </w:tabs>
        <w:ind w:left="3360" w:hanging="420"/>
      </w:pPr>
    </w:lvl>
    <w:lvl w:ilvl="7" w:tplc="00000000">
      <w:start w:val="1"/>
      <w:numFmt w:val="aiueoFullWidth"/>
      <w:lvlText w:val="(%8)"/>
      <w:lvlJc w:val="left"/>
      <w:pPr>
        <w:tabs>
          <w:tab w:val="num" w:leader="none" w:pos="3780"/>
        </w:tabs>
        <w:ind w:left="3780" w:hanging="420"/>
      </w:pPr>
    </w:lvl>
    <w:lvl w:ilvl="8" w:tplc="00000000">
      <w:start w:val="1"/>
      <w:numFmt w:val="decimalEnclosedCircle"/>
      <w:lvlText w:val="%9"/>
      <w:lvlJc w:val="left"/>
      <w:pPr>
        <w:tabs>
          <w:tab w:val="num" w:leader="none" w:pos="4200"/>
        </w:tabs>
        <w:ind w:left="4200" w:hanging="420"/>
      </w:pPr>
    </w:lvl>
  </w:abstractNum>
  <w:abstractNum w:abstractNumId="113">
    <w:nsid w:val="00000072"/>
    <w:multiLevelType w:val="hybridMultilevel"/>
    <w:tmpl w:val="988A72CE"/>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114">
    <w:nsid w:val="00000073"/>
    <w:multiLevelType w:val="hybridMultilevel"/>
    <w:tmpl w:val="249CB7D8"/>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115">
    <w:nsid w:val="00000074"/>
    <w:multiLevelType w:val="hybridMultilevel"/>
    <w:tmpl w:val="B35EA820"/>
    <w:lvl w:ilvl="0" w:tplc="00000000">
      <w:start w:val="1"/>
      <w:numFmt w:val="decimalEnclosedCircle"/>
      <w:lvlText w:val="%1"/>
      <w:lvlJc w:val="left"/>
      <w:pPr>
        <w:tabs>
          <w:tab w:val="num" w:leader="none" w:pos="868"/>
        </w:tabs>
        <w:ind w:left="868" w:hanging="426"/>
      </w:pPr>
      <w:rPr>
        <w:rFonts w:hint="default" w:ascii="ＭＳ 明朝" w:hAnsi="ＭＳ 明朝" w:eastAsia="ＭＳ 明朝"/>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116">
    <w:nsid w:val="00000075"/>
    <w:multiLevelType w:val="hybridMultilevel"/>
    <w:tmpl w:val="753A9F56"/>
    <w:lvl w:ilvl="0" w:tplc="00000000">
      <w:start w:val="1"/>
      <w:numFmt w:val="decimalEnclosedCircle"/>
      <w:lvlText w:val="%1"/>
      <w:lvlJc w:val="left"/>
      <w:pPr>
        <w:tabs>
          <w:tab w:val="num" w:leader="none" w:pos="868"/>
        </w:tabs>
        <w:ind w:left="868" w:hanging="428"/>
      </w:pPr>
      <w:rPr>
        <w:rFonts w:hint="default"/>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117">
    <w:nsid w:val="00000076"/>
    <w:multiLevelType w:val="hybridMultilevel"/>
    <w:tmpl w:val="389E96CC"/>
    <w:lvl w:ilvl="0" w:tplc="00000000">
      <w:start w:val="1"/>
      <w:numFmt w:val="decimalEnclosedCircle"/>
      <w:lvlText w:val="%1"/>
      <w:lvlJc w:val="left"/>
      <w:pPr>
        <w:tabs>
          <w:tab w:val="num" w:leader="none" w:pos="868"/>
        </w:tabs>
        <w:ind w:left="868" w:hanging="428"/>
      </w:pPr>
      <w:rPr>
        <w:rFonts w:hint="default"/>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118">
    <w:nsid w:val="00000077"/>
    <w:multiLevelType w:val="hybridMultilevel"/>
    <w:tmpl w:val="B83C5230"/>
    <w:lvl w:ilvl="0" w:tplc="00000000">
      <w:start w:val="1"/>
      <w:numFmt w:val="decimalEnclosedCircle"/>
      <w:lvlText w:val="%1"/>
      <w:lvlJc w:val="left"/>
      <w:pPr>
        <w:tabs>
          <w:tab w:val="num" w:leader="none" w:pos="868"/>
        </w:tabs>
        <w:ind w:left="868" w:hanging="428"/>
      </w:pPr>
      <w:rPr>
        <w:rFonts w:hint="default"/>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119">
    <w:nsid w:val="00000078"/>
    <w:multiLevelType w:val="hybridMultilevel"/>
    <w:tmpl w:val="B83C5230"/>
    <w:lvl w:ilvl="0" w:tplc="00000000">
      <w:start w:val="1"/>
      <w:numFmt w:val="decimalEnclosedCircle"/>
      <w:lvlText w:val="%1"/>
      <w:lvlJc w:val="left"/>
      <w:pPr>
        <w:tabs>
          <w:tab w:val="num" w:leader="none" w:pos="868"/>
        </w:tabs>
        <w:ind w:left="868" w:hanging="428"/>
      </w:pPr>
      <w:rPr>
        <w:rFonts w:hint="default"/>
        <w:sz w:val="24"/>
      </w:rPr>
    </w:lvl>
    <w:lvl w:ilvl="1" w:tplc="00000000">
      <w:start w:val="1"/>
      <w:numFmt w:val="aiueoFullWidth"/>
      <w:lvlText w:val="(%2)"/>
      <w:lvlJc w:val="left"/>
      <w:pPr>
        <w:tabs>
          <w:tab w:val="num" w:leader="none" w:pos="840"/>
        </w:tabs>
        <w:ind w:left="840" w:hanging="420"/>
      </w:p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120">
    <w:nsid w:val="00000079"/>
    <w:multiLevelType w:val="hybridMultilevel"/>
    <w:tmpl w:val="883600BC"/>
    <w:lvl w:ilvl="0" w:tplc="00000000">
      <w:numFmt w:val="bullet"/>
      <w:lvlText w:val="●"/>
      <w:lvlJc w:val="left"/>
      <w:pPr>
        <w:tabs>
          <w:tab w:val="num" w:leader="none" w:pos="576"/>
        </w:tabs>
        <w:ind w:left="576" w:hanging="360"/>
      </w:pPr>
      <w:rPr>
        <w:rFonts w:hint="eastAsia" w:ascii="ＭＳ 明朝" w:hAnsi="ＭＳ 明朝" w:eastAsia="ＭＳ 明朝"/>
        <w:color w:val="auto"/>
        <w:sz w:val="24"/>
      </w:rPr>
    </w:lvl>
    <w:lvl w:ilvl="1" w:tplc="00000000">
      <w:numFmt w:val="bullet"/>
      <w:lvlText w:val=""/>
      <w:lvlJc w:val="left"/>
      <w:pPr>
        <w:tabs>
          <w:tab w:val="num" w:leader="none" w:pos="1056"/>
        </w:tabs>
        <w:ind w:left="1056" w:hanging="420"/>
      </w:pPr>
      <w:rPr>
        <w:rFonts w:hint="default" w:ascii="Wingdings" w:hAnsi="Wingdings"/>
      </w:rPr>
    </w:lvl>
    <w:lvl w:ilvl="2" w:tplc="00000000">
      <w:numFmt w:val="bullet"/>
      <w:lvlText w:val=""/>
      <w:lvlJc w:val="left"/>
      <w:pPr>
        <w:tabs>
          <w:tab w:val="num" w:leader="none" w:pos="1476"/>
        </w:tabs>
        <w:ind w:left="1476" w:hanging="420"/>
      </w:pPr>
      <w:rPr>
        <w:rFonts w:hint="default" w:ascii="Wingdings" w:hAnsi="Wingdings"/>
      </w:rPr>
    </w:lvl>
    <w:lvl w:ilvl="3" w:tplc="00000000">
      <w:numFmt w:val="bullet"/>
      <w:lvlText w:val=""/>
      <w:lvlJc w:val="left"/>
      <w:pPr>
        <w:tabs>
          <w:tab w:val="num" w:leader="none" w:pos="1896"/>
        </w:tabs>
        <w:ind w:left="1896" w:hanging="420"/>
      </w:pPr>
      <w:rPr>
        <w:rFonts w:hint="default" w:ascii="Wingdings" w:hAnsi="Wingdings"/>
      </w:rPr>
    </w:lvl>
    <w:lvl w:ilvl="4" w:tplc="00000000">
      <w:numFmt w:val="bullet"/>
      <w:lvlText w:val=""/>
      <w:lvlJc w:val="left"/>
      <w:pPr>
        <w:tabs>
          <w:tab w:val="num" w:leader="none" w:pos="2316"/>
        </w:tabs>
        <w:ind w:left="2316" w:hanging="420"/>
      </w:pPr>
      <w:rPr>
        <w:rFonts w:hint="default" w:ascii="Wingdings" w:hAnsi="Wingdings"/>
      </w:rPr>
    </w:lvl>
    <w:lvl w:ilvl="5" w:tplc="00000000">
      <w:numFmt w:val="bullet"/>
      <w:lvlText w:val=""/>
      <w:lvlJc w:val="left"/>
      <w:pPr>
        <w:tabs>
          <w:tab w:val="num" w:leader="none" w:pos="2736"/>
        </w:tabs>
        <w:ind w:left="2736" w:hanging="420"/>
      </w:pPr>
      <w:rPr>
        <w:rFonts w:hint="default" w:ascii="Wingdings" w:hAnsi="Wingdings"/>
      </w:rPr>
    </w:lvl>
    <w:lvl w:ilvl="6" w:tplc="00000000">
      <w:numFmt w:val="bullet"/>
      <w:lvlText w:val=""/>
      <w:lvlJc w:val="left"/>
      <w:pPr>
        <w:tabs>
          <w:tab w:val="num" w:leader="none" w:pos="3156"/>
        </w:tabs>
        <w:ind w:left="3156" w:hanging="420"/>
      </w:pPr>
      <w:rPr>
        <w:rFonts w:hint="default" w:ascii="Wingdings" w:hAnsi="Wingdings"/>
      </w:rPr>
    </w:lvl>
    <w:lvl w:ilvl="7" w:tplc="00000000">
      <w:numFmt w:val="bullet"/>
      <w:lvlText w:val=""/>
      <w:lvlJc w:val="left"/>
      <w:pPr>
        <w:tabs>
          <w:tab w:val="num" w:leader="none" w:pos="3576"/>
        </w:tabs>
        <w:ind w:left="3576" w:hanging="420"/>
      </w:pPr>
      <w:rPr>
        <w:rFonts w:hint="default" w:ascii="Wingdings" w:hAnsi="Wingdings"/>
      </w:rPr>
    </w:lvl>
    <w:lvl w:ilvl="8" w:tplc="00000000">
      <w:numFmt w:val="bullet"/>
      <w:lvlText w:val=""/>
      <w:lvlJc w:val="left"/>
      <w:pPr>
        <w:tabs>
          <w:tab w:val="num" w:leader="none" w:pos="3996"/>
        </w:tabs>
        <w:ind w:left="3996" w:hanging="420"/>
      </w:pPr>
      <w:rPr>
        <w:rFonts w:hint="default" w:ascii="Wingdings" w:hAnsi="Wingdings"/>
      </w:rPr>
    </w:lvl>
  </w:abstractNum>
  <w:abstractNum w:abstractNumId="121">
    <w:nsid w:val="0000007A"/>
    <w:multiLevelType w:val="hybridMultilevel"/>
    <w:tmpl w:val="1A48B63A"/>
    <w:lvl w:ilvl="0" w:tplc="00000000">
      <w:start w:val="1"/>
      <w:numFmt w:val="decimalEnclosedCircle"/>
      <w:lvlText w:val="%1"/>
      <w:lvlJc w:val="left"/>
      <w:pPr>
        <w:tabs>
          <w:tab w:val="num" w:leader="none" w:pos="576"/>
        </w:tabs>
        <w:ind w:left="576" w:hanging="360"/>
      </w:pPr>
      <w:rPr>
        <w:rFonts w:hint="default" w:ascii="ＭＳ 明朝" w:hAnsi="ＭＳ 明朝" w:eastAsia="ＭＳ 明朝"/>
        <w:dstrike w:val="0"/>
        <w:color w:val="auto"/>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122">
    <w:nsid w:val="0000007B"/>
    <w:multiLevelType w:val="hybridMultilevel"/>
    <w:tmpl w:val="9F34F694"/>
    <w:lvl w:ilvl="0" w:tplc="00000000">
      <w:start w:val="1"/>
      <w:numFmt w:val="decimalEnclosedCircle"/>
      <w:lvlText w:val="%1"/>
      <w:lvlJc w:val="left"/>
      <w:pPr>
        <w:tabs>
          <w:tab w:val="num" w:leader="none" w:pos="578"/>
        </w:tabs>
        <w:ind w:left="578" w:hanging="362"/>
      </w:pPr>
      <w:rPr>
        <w:rFonts w:hint="default" w:ascii="ＭＳ 明朝" w:hAnsi="ＭＳ 明朝" w:eastAsia="ＭＳ 明朝"/>
        <w:b w:val="0"/>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123">
    <w:nsid w:val="0000007C"/>
    <w:multiLevelType w:val="hybridMultilevel"/>
    <w:tmpl w:val="9F34F694"/>
    <w:lvl w:ilvl="0" w:tplc="00000000">
      <w:start w:val="1"/>
      <w:numFmt w:val="decimalEnclosedCircle"/>
      <w:lvlText w:val="%1"/>
      <w:lvlJc w:val="left"/>
      <w:pPr>
        <w:tabs>
          <w:tab w:val="num" w:leader="none" w:pos="578"/>
        </w:tabs>
        <w:ind w:left="578" w:hanging="362"/>
      </w:pPr>
      <w:rPr>
        <w:rFonts w:hint="default" w:ascii="ＭＳ 明朝" w:hAnsi="ＭＳ 明朝" w:eastAsia="ＭＳ 明朝"/>
        <w:b w:val="0"/>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124">
    <w:nsid w:val="0000007D"/>
    <w:multiLevelType w:val="hybridMultilevel"/>
    <w:tmpl w:val="06042DD8"/>
    <w:lvl w:ilvl="0" w:tplc="00000000">
      <w:start w:val="1"/>
      <w:numFmt w:val="decimalEnclosedCircle"/>
      <w:lvlText w:val="%1"/>
      <w:lvlJc w:val="left"/>
      <w:pPr>
        <w:tabs>
          <w:tab w:val="num" w:leader="none" w:pos="578"/>
        </w:tabs>
        <w:ind w:left="578" w:hanging="362"/>
      </w:pPr>
      <w:rPr>
        <w:rFonts w:hint="default" w:ascii="ＭＳ 明朝" w:hAnsi="ＭＳ 明朝" w:eastAsia="ＭＳ 明朝"/>
        <w:b w:val="0"/>
        <w:sz w:val="24"/>
      </w:rPr>
    </w:lvl>
    <w:lvl w:ilvl="1" w:tplc="00000000">
      <w:numFmt w:val="bullet"/>
      <w:lvlText w:val="・"/>
      <w:lvlJc w:val="left"/>
      <w:pPr>
        <w:tabs>
          <w:tab w:val="num" w:leader="none" w:pos="780"/>
        </w:tabs>
        <w:ind w:left="780" w:hanging="360"/>
      </w:pPr>
      <w:rPr>
        <w:rFonts w:hint="eastAsia" w:ascii="ＭＳ 明朝" w:hAnsi="ＭＳ 明朝" w:eastAsia="ＭＳ 明朝"/>
        <w:b w:val="0"/>
        <w:color w:val="auto"/>
        <w:sz w:val="22"/>
      </w:rPr>
    </w:lvl>
    <w:lvl w:ilvl="2" w:tplc="00000000">
      <w:start w:val="1"/>
      <w:numFmt w:val="decimalEnclosedCircle"/>
      <w:lvlText w:val="%3"/>
      <w:lvlJc w:val="left"/>
      <w:pPr>
        <w:tabs>
          <w:tab w:val="num" w:leader="none" w:pos="1260"/>
        </w:tabs>
        <w:ind w:left="1260" w:hanging="420"/>
      </w:pPr>
    </w:lvl>
    <w:lvl w:ilvl="3" w:tplc="00000000">
      <w:start w:val="1"/>
      <w:numFmt w:val="decimal"/>
      <w:lvlText w:val="%4."/>
      <w:lvlJc w:val="left"/>
      <w:pPr>
        <w:tabs>
          <w:tab w:val="num" w:leader="none" w:pos="1680"/>
        </w:tabs>
        <w:ind w:left="1680" w:hanging="420"/>
      </w:pPr>
    </w:lvl>
    <w:lvl w:ilvl="4" w:tplc="00000000">
      <w:start w:val="1"/>
      <w:numFmt w:val="aiueoFullWidth"/>
      <w:lvlText w:val="(%5)"/>
      <w:lvlJc w:val="left"/>
      <w:pPr>
        <w:tabs>
          <w:tab w:val="num" w:leader="none" w:pos="2100"/>
        </w:tabs>
        <w:ind w:left="2100" w:hanging="420"/>
      </w:pPr>
    </w:lvl>
    <w:lvl w:ilvl="5" w:tplc="00000000">
      <w:start w:val="1"/>
      <w:numFmt w:val="decimalEnclosedCircle"/>
      <w:lvlText w:val="%6"/>
      <w:lvlJc w:val="left"/>
      <w:pPr>
        <w:tabs>
          <w:tab w:val="num" w:leader="none" w:pos="2520"/>
        </w:tabs>
        <w:ind w:left="2520" w:hanging="420"/>
      </w:pPr>
    </w:lvl>
    <w:lvl w:ilvl="6" w:tplc="00000000">
      <w:start w:val="1"/>
      <w:numFmt w:val="decimal"/>
      <w:lvlText w:val="%7."/>
      <w:lvlJc w:val="left"/>
      <w:pPr>
        <w:tabs>
          <w:tab w:val="num" w:leader="none" w:pos="2940"/>
        </w:tabs>
        <w:ind w:left="2940" w:hanging="420"/>
      </w:pPr>
    </w:lvl>
    <w:lvl w:ilvl="7" w:tplc="00000000">
      <w:start w:val="1"/>
      <w:numFmt w:val="aiueoFullWidth"/>
      <w:lvlText w:val="(%8)"/>
      <w:lvlJc w:val="left"/>
      <w:pPr>
        <w:tabs>
          <w:tab w:val="num" w:leader="none" w:pos="3360"/>
        </w:tabs>
        <w:ind w:left="3360" w:hanging="420"/>
      </w:pPr>
    </w:lvl>
    <w:lvl w:ilvl="8" w:tplc="00000000">
      <w:start w:val="1"/>
      <w:numFmt w:val="decimalEnclosedCircle"/>
      <w:lvlText w:val="%9"/>
      <w:lvlJc w:val="left"/>
      <w:pPr>
        <w:tabs>
          <w:tab w:val="num" w:leader="none" w:pos="3780"/>
        </w:tabs>
        <w:ind w:left="3780" w:hanging="420"/>
      </w:pPr>
    </w:lvl>
  </w:abstractNum>
  <w:abstractNum w:abstractNumId="125">
    <w:nsid w:val="0000007E"/>
    <w:multiLevelType w:val="hybridMultilevel"/>
    <w:tmpl w:val="038EE1EE"/>
    <w:lvl w:ilvl="0" w:tplc="00000000">
      <w:numFmt w:val="bullet"/>
      <w:lvlText w:val="・"/>
      <w:lvlJc w:val="left"/>
      <w:pPr>
        <w:tabs>
          <w:tab w:val="num" w:leader="none" w:pos="600"/>
        </w:tabs>
        <w:ind w:left="600" w:hanging="360"/>
      </w:pPr>
      <w:rPr>
        <w:rFonts w:hint="eastAsia" w:ascii="ＭＳ 明朝" w:hAnsi="ＭＳ 明朝" w:eastAsia="ＭＳ 明朝"/>
        <w:color w:val="auto"/>
        <w:sz w:val="24"/>
      </w:rPr>
    </w:lvl>
    <w:lvl w:ilvl="1" w:tplc="00000000">
      <w:numFmt w:val="bullet"/>
      <w:lvlText w:val=""/>
      <w:lvlJc w:val="left"/>
      <w:pPr>
        <w:tabs>
          <w:tab w:val="num" w:leader="none" w:pos="1080"/>
        </w:tabs>
        <w:ind w:left="1080" w:hanging="420"/>
      </w:pPr>
      <w:rPr>
        <w:rFonts w:hint="default" w:ascii="Wingdings" w:hAnsi="Wingdings"/>
      </w:rPr>
    </w:lvl>
    <w:lvl w:ilvl="2" w:tplc="00000000">
      <w:numFmt w:val="bullet"/>
      <w:lvlText w:val=""/>
      <w:lvlJc w:val="left"/>
      <w:pPr>
        <w:tabs>
          <w:tab w:val="num" w:leader="none" w:pos="1500"/>
        </w:tabs>
        <w:ind w:left="1500" w:hanging="420"/>
      </w:pPr>
      <w:rPr>
        <w:rFonts w:hint="default" w:ascii="Wingdings" w:hAnsi="Wingdings"/>
      </w:rPr>
    </w:lvl>
    <w:lvl w:ilvl="3" w:tplc="00000000">
      <w:numFmt w:val="bullet"/>
      <w:lvlText w:val=""/>
      <w:lvlJc w:val="left"/>
      <w:pPr>
        <w:tabs>
          <w:tab w:val="num" w:leader="none" w:pos="1920"/>
        </w:tabs>
        <w:ind w:left="1920" w:hanging="420"/>
      </w:pPr>
      <w:rPr>
        <w:rFonts w:hint="default" w:ascii="Wingdings" w:hAnsi="Wingdings"/>
      </w:rPr>
    </w:lvl>
    <w:lvl w:ilvl="4" w:tplc="00000000">
      <w:numFmt w:val="bullet"/>
      <w:lvlText w:val=""/>
      <w:lvlJc w:val="left"/>
      <w:pPr>
        <w:tabs>
          <w:tab w:val="num" w:leader="none" w:pos="2340"/>
        </w:tabs>
        <w:ind w:left="2340" w:hanging="420"/>
      </w:pPr>
      <w:rPr>
        <w:rFonts w:hint="default" w:ascii="Wingdings" w:hAnsi="Wingdings"/>
      </w:rPr>
    </w:lvl>
    <w:lvl w:ilvl="5" w:tplc="00000000">
      <w:numFmt w:val="bullet"/>
      <w:lvlText w:val=""/>
      <w:lvlJc w:val="left"/>
      <w:pPr>
        <w:tabs>
          <w:tab w:val="num" w:leader="none" w:pos="2760"/>
        </w:tabs>
        <w:ind w:left="2760" w:hanging="420"/>
      </w:pPr>
      <w:rPr>
        <w:rFonts w:hint="default" w:ascii="Wingdings" w:hAnsi="Wingdings"/>
      </w:rPr>
    </w:lvl>
    <w:lvl w:ilvl="6" w:tplc="00000000">
      <w:numFmt w:val="bullet"/>
      <w:lvlText w:val=""/>
      <w:lvlJc w:val="left"/>
      <w:pPr>
        <w:tabs>
          <w:tab w:val="num" w:leader="none" w:pos="3180"/>
        </w:tabs>
        <w:ind w:left="3180" w:hanging="420"/>
      </w:pPr>
      <w:rPr>
        <w:rFonts w:hint="default" w:ascii="Wingdings" w:hAnsi="Wingdings"/>
      </w:rPr>
    </w:lvl>
    <w:lvl w:ilvl="7" w:tplc="00000000">
      <w:numFmt w:val="bullet"/>
      <w:lvlText w:val=""/>
      <w:lvlJc w:val="left"/>
      <w:pPr>
        <w:tabs>
          <w:tab w:val="num" w:leader="none" w:pos="3600"/>
        </w:tabs>
        <w:ind w:left="3600" w:hanging="420"/>
      </w:pPr>
      <w:rPr>
        <w:rFonts w:hint="default" w:ascii="Wingdings" w:hAnsi="Wingdings"/>
      </w:rPr>
    </w:lvl>
    <w:lvl w:ilvl="8" w:tplc="00000000">
      <w:numFmt w:val="bullet"/>
      <w:lvlText w:val=""/>
      <w:lvlJc w:val="left"/>
      <w:pPr>
        <w:tabs>
          <w:tab w:val="num" w:leader="none" w:pos="4020"/>
        </w:tabs>
        <w:ind w:left="4020" w:hanging="420"/>
      </w:pPr>
      <w:rPr>
        <w:rFonts w:hint="default" w:ascii="Wingdings" w:hAnsi="Wingdings"/>
      </w:rPr>
    </w:lvl>
  </w:abstractNum>
  <w:abstractNum w:abstractNumId="126">
    <w:nsid w:val="0000007F"/>
    <w:multiLevelType w:val="hybridMultilevel"/>
    <w:tmpl w:val="ACF859A2"/>
    <w:lvl w:ilvl="0" w:tplc="00000000">
      <w:start w:val="1"/>
      <w:numFmt w:val="decimalEnclosedCircle"/>
      <w:lvlText w:val="%1"/>
      <w:lvlJc w:val="left"/>
      <w:pPr>
        <w:tabs>
          <w:tab w:val="num" w:leader="none" w:pos="576"/>
        </w:tabs>
        <w:ind w:left="576" w:hanging="360"/>
      </w:pPr>
      <w:rPr>
        <w:rFonts w:hint="default" w:ascii="ＭＳ 明朝" w:hAnsi="ＭＳ 明朝" w:eastAsia="ＭＳ 明朝"/>
        <w:sz w:val="24"/>
      </w:rPr>
    </w:lvl>
    <w:lvl w:ilvl="1" w:tplc="00000000">
      <w:start w:val="1"/>
      <w:numFmt w:val="aiueoFullWidth"/>
      <w:lvlText w:val="(%2)"/>
      <w:lvlJc w:val="left"/>
      <w:pPr>
        <w:tabs>
          <w:tab w:val="num" w:leader="none" w:pos="1056"/>
        </w:tabs>
        <w:ind w:left="1056" w:hanging="420"/>
      </w:pPr>
    </w:lvl>
    <w:lvl w:ilvl="2" w:tplc="00000000">
      <w:start w:val="1"/>
      <w:numFmt w:val="decimalEnclosedCircle"/>
      <w:lvlText w:val="%3"/>
      <w:lvlJc w:val="left"/>
      <w:pPr>
        <w:tabs>
          <w:tab w:val="num" w:leader="none" w:pos="1476"/>
        </w:tabs>
        <w:ind w:left="1476" w:hanging="420"/>
      </w:pPr>
    </w:lvl>
    <w:lvl w:ilvl="3" w:tplc="00000000">
      <w:start w:val="1"/>
      <w:numFmt w:val="decimal"/>
      <w:lvlText w:val="%4."/>
      <w:lvlJc w:val="left"/>
      <w:pPr>
        <w:tabs>
          <w:tab w:val="num" w:leader="none" w:pos="1896"/>
        </w:tabs>
        <w:ind w:left="1896" w:hanging="420"/>
      </w:pPr>
    </w:lvl>
    <w:lvl w:ilvl="4" w:tplc="00000000">
      <w:start w:val="1"/>
      <w:numFmt w:val="aiueoFullWidth"/>
      <w:lvlText w:val="(%5)"/>
      <w:lvlJc w:val="left"/>
      <w:pPr>
        <w:tabs>
          <w:tab w:val="num" w:leader="none" w:pos="2316"/>
        </w:tabs>
        <w:ind w:left="2316" w:hanging="420"/>
      </w:pPr>
    </w:lvl>
    <w:lvl w:ilvl="5" w:tplc="00000000">
      <w:start w:val="1"/>
      <w:numFmt w:val="decimalEnclosedCircle"/>
      <w:lvlText w:val="%6"/>
      <w:lvlJc w:val="left"/>
      <w:pPr>
        <w:tabs>
          <w:tab w:val="num" w:leader="none" w:pos="2736"/>
        </w:tabs>
        <w:ind w:left="2736" w:hanging="420"/>
      </w:pPr>
    </w:lvl>
    <w:lvl w:ilvl="6" w:tplc="00000000">
      <w:start w:val="1"/>
      <w:numFmt w:val="decimal"/>
      <w:lvlText w:val="%7."/>
      <w:lvlJc w:val="left"/>
      <w:pPr>
        <w:tabs>
          <w:tab w:val="num" w:leader="none" w:pos="3156"/>
        </w:tabs>
        <w:ind w:left="3156" w:hanging="420"/>
      </w:pPr>
    </w:lvl>
    <w:lvl w:ilvl="7" w:tplc="00000000">
      <w:start w:val="1"/>
      <w:numFmt w:val="aiueoFullWidth"/>
      <w:lvlText w:val="(%8)"/>
      <w:lvlJc w:val="left"/>
      <w:pPr>
        <w:tabs>
          <w:tab w:val="num" w:leader="none" w:pos="3576"/>
        </w:tabs>
        <w:ind w:left="3576" w:hanging="420"/>
      </w:pPr>
    </w:lvl>
    <w:lvl w:ilvl="8" w:tplc="00000000">
      <w:start w:val="1"/>
      <w:numFmt w:val="decimalEnclosedCircle"/>
      <w:lvlText w:val="%9"/>
      <w:lvlJc w:val="left"/>
      <w:pPr>
        <w:tabs>
          <w:tab w:val="num" w:leader="none" w:pos="3996"/>
        </w:tabs>
        <w:ind w:left="3996" w:hanging="420"/>
      </w:pPr>
    </w:lvl>
  </w:abstractNum>
  <w:abstractNum w:abstractNumId="127">
    <w:nsid w:val="00000080"/>
    <w:multiLevelType w:val="multilevel"/>
    <w:tmpl w:val="21D174AC"/>
    <w:lvl w:ilvl="0">
      <w:numFmt w:val="bullet"/>
      <w:lvlText w:val="・"/>
      <w:lvlJc w:val="left"/>
      <w:pPr>
        <w:tabs>
          <w:tab w:val="num" w:leader="none" w:pos="360"/>
        </w:tabs>
        <w:ind w:left="360" w:hanging="360"/>
      </w:pPr>
      <w:rPr>
        <w:rFonts w:hint="eastAsia" w:ascii="ＭＳ 明朝" w:hAnsi="ＭＳ 明朝" w:eastAsia="ＭＳ 明朝"/>
      </w:rPr>
    </w:lvl>
    <w:lvl w:ilvl="1">
      <w:numFmt w:val="bullet"/>
      <w:lvlText w:val=""/>
      <w:lvlJc w:val="left"/>
      <w:pPr>
        <w:tabs>
          <w:tab w:val="num" w:leader="none" w:pos="840"/>
        </w:tabs>
        <w:ind w:left="840" w:hanging="420"/>
      </w:pPr>
      <w:rPr>
        <w:rFonts w:hint="default" w:ascii="Wingdings" w:hAnsi="Wingdings"/>
      </w:rPr>
    </w:lvl>
    <w:lvl w:ilvl="2">
      <w:numFmt w:val="bullet"/>
      <w:lvlText w:val=""/>
      <w:lvlJc w:val="left"/>
      <w:pPr>
        <w:tabs>
          <w:tab w:val="num" w:leader="none" w:pos="1260"/>
        </w:tabs>
        <w:ind w:left="1260" w:hanging="420"/>
      </w:pPr>
      <w:rPr>
        <w:rFonts w:hint="default" w:ascii="Wingdings" w:hAnsi="Wingdings"/>
      </w:rPr>
    </w:lvl>
    <w:lvl w:ilvl="3">
      <w:numFmt w:val="bullet"/>
      <w:lvlText w:val=""/>
      <w:lvlJc w:val="left"/>
      <w:pPr>
        <w:tabs>
          <w:tab w:val="num" w:leader="none" w:pos="1680"/>
        </w:tabs>
        <w:ind w:left="1680" w:hanging="420"/>
      </w:pPr>
      <w:rPr>
        <w:rFonts w:hint="default" w:ascii="Wingdings" w:hAnsi="Wingdings"/>
      </w:rPr>
    </w:lvl>
    <w:lvl w:ilvl="4">
      <w:numFmt w:val="bullet"/>
      <w:lvlText w:val=""/>
      <w:lvlJc w:val="left"/>
      <w:pPr>
        <w:tabs>
          <w:tab w:val="num" w:leader="none" w:pos="2100"/>
        </w:tabs>
        <w:ind w:left="2100" w:hanging="420"/>
      </w:pPr>
      <w:rPr>
        <w:rFonts w:hint="default" w:ascii="Wingdings" w:hAnsi="Wingdings"/>
      </w:rPr>
    </w:lvl>
    <w:lvl w:ilvl="5">
      <w:numFmt w:val="bullet"/>
      <w:lvlText w:val=""/>
      <w:lvlJc w:val="left"/>
      <w:pPr>
        <w:tabs>
          <w:tab w:val="num" w:leader="none" w:pos="2520"/>
        </w:tabs>
        <w:ind w:left="2520" w:hanging="420"/>
      </w:pPr>
      <w:rPr>
        <w:rFonts w:hint="default" w:ascii="Wingdings" w:hAnsi="Wingdings"/>
      </w:rPr>
    </w:lvl>
    <w:lvl w:ilvl="6">
      <w:numFmt w:val="bullet"/>
      <w:lvlText w:val=""/>
      <w:lvlJc w:val="left"/>
      <w:pPr>
        <w:tabs>
          <w:tab w:val="num" w:leader="none" w:pos="2940"/>
        </w:tabs>
        <w:ind w:left="2940" w:hanging="420"/>
      </w:pPr>
      <w:rPr>
        <w:rFonts w:hint="default" w:ascii="Wingdings" w:hAnsi="Wingdings"/>
      </w:rPr>
    </w:lvl>
    <w:lvl w:ilvl="7">
      <w:numFmt w:val="bullet"/>
      <w:lvlText w:val=""/>
      <w:lvlJc w:val="left"/>
      <w:pPr>
        <w:tabs>
          <w:tab w:val="num" w:leader="none" w:pos="3360"/>
        </w:tabs>
        <w:ind w:left="3360" w:hanging="420"/>
      </w:pPr>
      <w:rPr>
        <w:rFonts w:hint="default" w:ascii="Wingdings" w:hAnsi="Wingdings"/>
      </w:rPr>
    </w:lvl>
    <w:lvl w:ilvl="8">
      <w:numFmt w:val="bullet"/>
      <w:lvlText w:val=""/>
      <w:lvlJc w:val="left"/>
      <w:pPr>
        <w:tabs>
          <w:tab w:val="num" w:leader="none" w:pos="3780"/>
        </w:tabs>
        <w:ind w:left="3780" w:hanging="420"/>
      </w:pPr>
      <w:rPr>
        <w:rFonts w:hint="default" w:ascii="Wingdings" w:hAnsi="Wingdings"/>
      </w:rPr>
    </w:lvl>
  </w:abstractNum>
  <w:abstractNum w:abstractNumId="128">
    <w:nsid w:val="00000081"/>
    <w:multiLevelType w:val="hybridMultilevel"/>
    <w:tmpl w:val="1F02FA3A"/>
    <w:lvl w:ilvl="0" w:tplc="00000000">
      <w:numFmt w:val="bullet"/>
      <w:lvlText w:val="・"/>
      <w:lvlJc w:val="left"/>
      <w:pPr>
        <w:tabs>
          <w:tab w:val="num" w:leader="none" w:pos="585"/>
        </w:tabs>
        <w:ind w:left="585" w:hanging="360"/>
      </w:pPr>
      <w:rPr>
        <w:rFonts w:hint="eastAsia" w:ascii="ＭＳ 明朝" w:hAnsi="ＭＳ 明朝" w:eastAsia="ＭＳ 明朝"/>
      </w:rPr>
    </w:lvl>
    <w:lvl w:ilvl="1" w:tplc="00000000">
      <w:numFmt w:val="bullet"/>
      <w:lvlText w:val=""/>
      <w:lvlJc w:val="left"/>
      <w:pPr>
        <w:tabs>
          <w:tab w:val="num" w:leader="none" w:pos="1065"/>
        </w:tabs>
        <w:ind w:left="1065" w:hanging="420"/>
      </w:pPr>
      <w:rPr>
        <w:rFonts w:hint="default" w:ascii="Wingdings" w:hAnsi="Wingdings"/>
      </w:rPr>
    </w:lvl>
    <w:lvl w:ilvl="2" w:tplc="00000000">
      <w:numFmt w:val="bullet"/>
      <w:lvlText w:val=""/>
      <w:lvlJc w:val="left"/>
      <w:pPr>
        <w:tabs>
          <w:tab w:val="num" w:leader="none" w:pos="1485"/>
        </w:tabs>
        <w:ind w:left="1485" w:hanging="420"/>
      </w:pPr>
      <w:rPr>
        <w:rFonts w:hint="default" w:ascii="Wingdings" w:hAnsi="Wingdings"/>
      </w:rPr>
    </w:lvl>
    <w:lvl w:ilvl="3" w:tplc="00000000">
      <w:numFmt w:val="bullet"/>
      <w:lvlText w:val=""/>
      <w:lvlJc w:val="left"/>
      <w:pPr>
        <w:tabs>
          <w:tab w:val="num" w:leader="none" w:pos="1905"/>
        </w:tabs>
        <w:ind w:left="1905" w:hanging="420"/>
      </w:pPr>
      <w:rPr>
        <w:rFonts w:hint="default" w:ascii="Wingdings" w:hAnsi="Wingdings"/>
      </w:rPr>
    </w:lvl>
    <w:lvl w:ilvl="4" w:tplc="00000000">
      <w:numFmt w:val="bullet"/>
      <w:lvlText w:val=""/>
      <w:lvlJc w:val="left"/>
      <w:pPr>
        <w:tabs>
          <w:tab w:val="num" w:leader="none" w:pos="2325"/>
        </w:tabs>
        <w:ind w:left="2325" w:hanging="420"/>
      </w:pPr>
      <w:rPr>
        <w:rFonts w:hint="default" w:ascii="Wingdings" w:hAnsi="Wingdings"/>
      </w:rPr>
    </w:lvl>
    <w:lvl w:ilvl="5" w:tplc="00000000">
      <w:numFmt w:val="bullet"/>
      <w:lvlText w:val=""/>
      <w:lvlJc w:val="left"/>
      <w:pPr>
        <w:tabs>
          <w:tab w:val="num" w:leader="none" w:pos="2745"/>
        </w:tabs>
        <w:ind w:left="2745" w:hanging="420"/>
      </w:pPr>
      <w:rPr>
        <w:rFonts w:hint="default" w:ascii="Wingdings" w:hAnsi="Wingdings"/>
      </w:rPr>
    </w:lvl>
    <w:lvl w:ilvl="6" w:tplc="00000000">
      <w:numFmt w:val="bullet"/>
      <w:lvlText w:val=""/>
      <w:lvlJc w:val="left"/>
      <w:pPr>
        <w:tabs>
          <w:tab w:val="num" w:leader="none" w:pos="3165"/>
        </w:tabs>
        <w:ind w:left="3165" w:hanging="420"/>
      </w:pPr>
      <w:rPr>
        <w:rFonts w:hint="default" w:ascii="Wingdings" w:hAnsi="Wingdings"/>
      </w:rPr>
    </w:lvl>
    <w:lvl w:ilvl="7" w:tplc="00000000">
      <w:numFmt w:val="bullet"/>
      <w:lvlText w:val=""/>
      <w:lvlJc w:val="left"/>
      <w:pPr>
        <w:tabs>
          <w:tab w:val="num" w:leader="none" w:pos="3585"/>
        </w:tabs>
        <w:ind w:left="3585" w:hanging="420"/>
      </w:pPr>
      <w:rPr>
        <w:rFonts w:hint="default" w:ascii="Wingdings" w:hAnsi="Wingdings"/>
      </w:rPr>
    </w:lvl>
    <w:lvl w:ilvl="8" w:tplc="00000000">
      <w:numFmt w:val="bullet"/>
      <w:lvlText w:val=""/>
      <w:lvlJc w:val="left"/>
      <w:pPr>
        <w:tabs>
          <w:tab w:val="num" w:leader="none" w:pos="4005"/>
        </w:tabs>
        <w:ind w:left="4005" w:hanging="420"/>
      </w:pPr>
      <w:rPr>
        <w:rFonts w:hint="default" w:ascii="Wingdings" w:hAnsi="Wingdings"/>
      </w:rPr>
    </w:lvl>
  </w:abstractNum>
  <w:abstractNum w:abstractNumId="129">
    <w:nsid w:val="00000082"/>
    <w:multiLevelType w:val="hybridMultilevel"/>
    <w:tmpl w:val="F0F81142"/>
    <w:lvl w:ilvl="0" w:tplc="00000000">
      <w:numFmt w:val="bullet"/>
      <w:lvlText w:val="●"/>
      <w:lvlJc w:val="left"/>
      <w:pPr>
        <w:tabs>
          <w:tab w:val="num" w:leader="none" w:pos="576"/>
        </w:tabs>
        <w:ind w:left="576" w:hanging="360"/>
      </w:pPr>
      <w:rPr>
        <w:rFonts w:hint="eastAsia" w:ascii="ＭＳ 明朝" w:hAnsi="ＭＳ 明朝" w:eastAsia="ＭＳ 明朝"/>
        <w:color w:val="auto"/>
      </w:rPr>
    </w:lvl>
    <w:lvl w:ilvl="1" w:tplc="00000000">
      <w:numFmt w:val="bullet"/>
      <w:lvlText w:val=""/>
      <w:lvlJc w:val="left"/>
      <w:pPr>
        <w:tabs>
          <w:tab w:val="num" w:leader="none" w:pos="840"/>
        </w:tabs>
        <w:ind w:left="840" w:hanging="420"/>
      </w:pPr>
      <w:rPr>
        <w:rFonts w:hint="default" w:ascii="Wingdings" w:hAnsi="Wingdings"/>
      </w:rPr>
    </w:lvl>
    <w:lvl w:ilvl="2" w:tplc="00000000">
      <w:numFmt w:val="bullet"/>
      <w:lvlText w:val=""/>
      <w:lvlJc w:val="left"/>
      <w:pPr>
        <w:tabs>
          <w:tab w:val="num" w:leader="none" w:pos="1260"/>
        </w:tabs>
        <w:ind w:left="1260" w:hanging="420"/>
      </w:pPr>
      <w:rPr>
        <w:rFonts w:hint="default" w:ascii="Wingdings" w:hAnsi="Wingdings"/>
      </w:rPr>
    </w:lvl>
    <w:lvl w:ilvl="3" w:tplc="00000000">
      <w:numFmt w:val="bullet"/>
      <w:lvlText w:val=""/>
      <w:lvlJc w:val="left"/>
      <w:pPr>
        <w:tabs>
          <w:tab w:val="num" w:leader="none" w:pos="1680"/>
        </w:tabs>
        <w:ind w:left="1680" w:hanging="420"/>
      </w:pPr>
      <w:rPr>
        <w:rFonts w:hint="default" w:ascii="Wingdings" w:hAnsi="Wingdings"/>
      </w:rPr>
    </w:lvl>
    <w:lvl w:ilvl="4" w:tplc="00000000">
      <w:numFmt w:val="bullet"/>
      <w:lvlText w:val=""/>
      <w:lvlJc w:val="left"/>
      <w:pPr>
        <w:tabs>
          <w:tab w:val="num" w:leader="none" w:pos="2100"/>
        </w:tabs>
        <w:ind w:left="2100" w:hanging="420"/>
      </w:pPr>
      <w:rPr>
        <w:rFonts w:hint="default" w:ascii="Wingdings" w:hAnsi="Wingdings"/>
      </w:rPr>
    </w:lvl>
    <w:lvl w:ilvl="5" w:tplc="00000000">
      <w:numFmt w:val="bullet"/>
      <w:lvlText w:val=""/>
      <w:lvlJc w:val="left"/>
      <w:pPr>
        <w:tabs>
          <w:tab w:val="num" w:leader="none" w:pos="2520"/>
        </w:tabs>
        <w:ind w:left="2520" w:hanging="420"/>
      </w:pPr>
      <w:rPr>
        <w:rFonts w:hint="default" w:ascii="Wingdings" w:hAnsi="Wingdings"/>
      </w:rPr>
    </w:lvl>
    <w:lvl w:ilvl="6" w:tplc="00000000">
      <w:numFmt w:val="bullet"/>
      <w:lvlText w:val=""/>
      <w:lvlJc w:val="left"/>
      <w:pPr>
        <w:tabs>
          <w:tab w:val="num" w:leader="none" w:pos="2940"/>
        </w:tabs>
        <w:ind w:left="2940" w:hanging="420"/>
      </w:pPr>
      <w:rPr>
        <w:rFonts w:hint="default" w:ascii="Wingdings" w:hAnsi="Wingdings"/>
      </w:rPr>
    </w:lvl>
    <w:lvl w:ilvl="7" w:tplc="00000000">
      <w:numFmt w:val="bullet"/>
      <w:lvlText w:val=""/>
      <w:lvlJc w:val="left"/>
      <w:pPr>
        <w:tabs>
          <w:tab w:val="num" w:leader="none" w:pos="3360"/>
        </w:tabs>
        <w:ind w:left="3360" w:hanging="420"/>
      </w:pPr>
      <w:rPr>
        <w:rFonts w:hint="default" w:ascii="Wingdings" w:hAnsi="Wingdings"/>
      </w:rPr>
    </w:lvl>
    <w:lvl w:ilvl="8" w:tplc="00000000">
      <w:numFmt w:val="bullet"/>
      <w:lvlText w:val=""/>
      <w:lvlJc w:val="left"/>
      <w:pPr>
        <w:tabs>
          <w:tab w:val="num" w:leader="none" w:pos="3780"/>
        </w:tabs>
        <w:ind w:left="3780" w:hanging="420"/>
      </w:pPr>
      <w:rPr>
        <w:rFonts w:hint="default" w:ascii="Wingdings" w:hAnsi="Wingdings"/>
      </w:rPr>
    </w:lvl>
  </w:abstractNum>
  <w:num w:numId="1">
    <w:abstractNumId w:val="0"/>
  </w:num>
  <w:num w:numId="2">
    <w:abstractNumId w:val="1"/>
  </w:num>
  <w:num w:numId="3">
    <w:abstractNumId w:val="0"/>
  </w:num>
  <w:num w:numId="4">
    <w:abstractNumId w:val="2"/>
  </w:num>
  <w:num w:numId="5">
    <w:abstractNumId w:val="3"/>
  </w:num>
  <w:num w:numId="6">
    <w:abstractNumId w:val="4"/>
  </w:num>
  <w:num w:numId="7">
    <w:abstractNumId w:val="5"/>
  </w:num>
  <w:num w:numId="8">
    <w:abstractNumId w:val="6"/>
  </w:num>
  <w:num w:numId="9">
    <w:abstractNumId w:val="7"/>
  </w:num>
  <w:num w:numId="10">
    <w:abstractNumId w:val="0"/>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0"/>
  </w:num>
  <w:num w:numId="30">
    <w:abstractNumId w:val="26"/>
  </w:num>
  <w:num w:numId="31">
    <w:abstractNumId w:val="27"/>
  </w:num>
  <w:num w:numId="32">
    <w:abstractNumId w:val="28"/>
  </w:num>
  <w:num w:numId="33">
    <w:abstractNumId w:val="29"/>
  </w:num>
  <w:num w:numId="34">
    <w:abstractNumId w:val="30"/>
  </w:num>
  <w:num w:numId="35">
    <w:abstractNumId w:val="31"/>
  </w:num>
  <w:num w:numId="36">
    <w:abstractNumId w:val="32"/>
  </w:num>
  <w:num w:numId="37">
    <w:abstractNumId w:val="33"/>
  </w:num>
  <w:num w:numId="38">
    <w:abstractNumId w:val="34"/>
  </w:num>
  <w:num w:numId="39">
    <w:abstractNumId w:val="35"/>
  </w:num>
  <w:num w:numId="40">
    <w:abstractNumId w:val="36"/>
  </w:num>
  <w:num w:numId="41">
    <w:abstractNumId w:val="37"/>
  </w:num>
  <w:num w:numId="42">
    <w:abstractNumId w:val="38"/>
  </w:num>
  <w:num w:numId="43">
    <w:abstractNumId w:val="39"/>
  </w:num>
  <w:num w:numId="44">
    <w:abstractNumId w:val="40"/>
  </w:num>
  <w:num w:numId="45">
    <w:abstractNumId w:val="41"/>
  </w:num>
  <w:num w:numId="46">
    <w:abstractNumId w:val="42"/>
  </w:num>
  <w:num w:numId="47">
    <w:abstractNumId w:val="43"/>
  </w:num>
  <w:num w:numId="48">
    <w:abstractNumId w:val="44"/>
  </w:num>
  <w:num w:numId="49">
    <w:abstractNumId w:val="45"/>
  </w:num>
  <w:num w:numId="50">
    <w:abstractNumId w:val="46"/>
  </w:num>
  <w:num w:numId="51">
    <w:abstractNumId w:val="47"/>
  </w:num>
  <w:num w:numId="52">
    <w:abstractNumId w:val="48"/>
  </w:num>
  <w:num w:numId="53">
    <w:abstractNumId w:val="49"/>
  </w:num>
  <w:num w:numId="54">
    <w:abstractNumId w:val="50"/>
  </w:num>
  <w:num w:numId="55">
    <w:abstractNumId w:val="51"/>
  </w:num>
  <w:num w:numId="56">
    <w:abstractNumId w:val="52"/>
  </w:num>
  <w:num w:numId="57">
    <w:abstractNumId w:val="53"/>
  </w:num>
  <w:num w:numId="58">
    <w:abstractNumId w:val="54"/>
  </w:num>
  <w:num w:numId="59">
    <w:abstractNumId w:val="55"/>
  </w:num>
  <w:num w:numId="60">
    <w:abstractNumId w:val="56"/>
  </w:num>
  <w:num w:numId="61">
    <w:abstractNumId w:val="57"/>
  </w:num>
  <w:num w:numId="62">
    <w:abstractNumId w:val="58"/>
  </w:num>
  <w:num w:numId="63">
    <w:abstractNumId w:val="59"/>
  </w:num>
  <w:num w:numId="64">
    <w:abstractNumId w:val="60"/>
  </w:num>
  <w:num w:numId="65">
    <w:abstractNumId w:val="61"/>
  </w:num>
  <w:num w:numId="66">
    <w:abstractNumId w:val="62"/>
  </w:num>
  <w:num w:numId="67">
    <w:abstractNumId w:val="63"/>
  </w:num>
  <w:num w:numId="68">
    <w:abstractNumId w:val="64"/>
  </w:num>
  <w:num w:numId="69">
    <w:abstractNumId w:val="65"/>
  </w:num>
  <w:num w:numId="70">
    <w:abstractNumId w:val="66"/>
  </w:num>
  <w:num w:numId="71">
    <w:abstractNumId w:val="67"/>
  </w:num>
  <w:num w:numId="72">
    <w:abstractNumId w:val="68"/>
  </w:num>
  <w:num w:numId="73">
    <w:abstractNumId w:val="69"/>
  </w:num>
  <w:num w:numId="74">
    <w:abstractNumId w:val="70"/>
  </w:num>
  <w:num w:numId="75">
    <w:abstractNumId w:val="71"/>
  </w:num>
  <w:num w:numId="76">
    <w:abstractNumId w:val="72"/>
  </w:num>
  <w:num w:numId="77">
    <w:abstractNumId w:val="73"/>
  </w:num>
  <w:num w:numId="78">
    <w:abstractNumId w:val="74"/>
  </w:num>
  <w:num w:numId="79">
    <w:abstractNumId w:val="75"/>
  </w:num>
  <w:num w:numId="80">
    <w:abstractNumId w:val="76"/>
  </w:num>
  <w:num w:numId="81">
    <w:abstractNumId w:val="77"/>
  </w:num>
  <w:num w:numId="82">
    <w:abstractNumId w:val="78"/>
  </w:num>
  <w:num w:numId="83">
    <w:abstractNumId w:val="79"/>
  </w:num>
  <w:num w:numId="84">
    <w:abstractNumId w:val="80"/>
  </w:num>
  <w:num w:numId="85">
    <w:abstractNumId w:val="81"/>
  </w:num>
  <w:num w:numId="86">
    <w:abstractNumId w:val="82"/>
  </w:num>
  <w:num w:numId="87">
    <w:abstractNumId w:val="83"/>
  </w:num>
  <w:num w:numId="88">
    <w:abstractNumId w:val="84"/>
  </w:num>
  <w:num w:numId="89">
    <w:abstractNumId w:val="85"/>
  </w:num>
  <w:num w:numId="90">
    <w:abstractNumId w:val="86"/>
  </w:num>
  <w:num w:numId="91">
    <w:abstractNumId w:val="87"/>
  </w:num>
  <w:num w:numId="92">
    <w:abstractNumId w:val="88"/>
  </w:num>
  <w:num w:numId="93">
    <w:abstractNumId w:val="89"/>
  </w:num>
  <w:num w:numId="94">
    <w:abstractNumId w:val="90"/>
  </w:num>
  <w:num w:numId="95">
    <w:abstractNumId w:val="91"/>
  </w:num>
  <w:num w:numId="96">
    <w:abstractNumId w:val="92"/>
  </w:num>
  <w:num w:numId="97">
    <w:abstractNumId w:val="93"/>
  </w:num>
  <w:num w:numId="98">
    <w:abstractNumId w:val="94"/>
  </w:num>
  <w:num w:numId="99">
    <w:abstractNumId w:val="95"/>
  </w:num>
  <w:num w:numId="100">
    <w:abstractNumId w:val="96"/>
  </w:num>
  <w:num w:numId="101">
    <w:abstractNumId w:val="97"/>
  </w:num>
  <w:num w:numId="102">
    <w:abstractNumId w:val="98"/>
  </w:num>
  <w:num w:numId="103">
    <w:abstractNumId w:val="99"/>
  </w:num>
  <w:num w:numId="104">
    <w:abstractNumId w:val="100"/>
  </w:num>
  <w:num w:numId="105">
    <w:abstractNumId w:val="101"/>
  </w:num>
  <w:num w:numId="106">
    <w:abstractNumId w:val="102"/>
  </w:num>
  <w:num w:numId="107">
    <w:abstractNumId w:val="103"/>
  </w:num>
  <w:num w:numId="108">
    <w:abstractNumId w:val="104"/>
  </w:num>
  <w:num w:numId="109">
    <w:abstractNumId w:val="105"/>
  </w:num>
  <w:num w:numId="110">
    <w:abstractNumId w:val="106"/>
  </w:num>
  <w:num w:numId="111">
    <w:abstractNumId w:val="107"/>
  </w:num>
  <w:num w:numId="112">
    <w:abstractNumId w:val="108"/>
  </w:num>
  <w:num w:numId="113">
    <w:abstractNumId w:val="109"/>
  </w:num>
  <w:num w:numId="114">
    <w:abstractNumId w:val="110"/>
  </w:num>
  <w:num w:numId="115">
    <w:abstractNumId w:val="111"/>
  </w:num>
  <w:num w:numId="116">
    <w:abstractNumId w:val="112"/>
  </w:num>
  <w:num w:numId="117">
    <w:abstractNumId w:val="113"/>
  </w:num>
  <w:num w:numId="118">
    <w:abstractNumId w:val="114"/>
  </w:num>
  <w:num w:numId="119">
    <w:abstractNumId w:val="115"/>
  </w:num>
  <w:num w:numId="120">
    <w:abstractNumId w:val="116"/>
  </w:num>
  <w:num w:numId="121">
    <w:abstractNumId w:val="117"/>
  </w:num>
  <w:num w:numId="122">
    <w:abstractNumId w:val="118"/>
  </w:num>
  <w:num w:numId="123">
    <w:abstractNumId w:val="119"/>
  </w:num>
  <w:num w:numId="124">
    <w:abstractNumId w:val="16"/>
  </w:num>
  <w:num w:numId="125">
    <w:abstractNumId w:val="120"/>
  </w:num>
  <w:num w:numId="126">
    <w:abstractNumId w:val="121"/>
  </w:num>
  <w:num w:numId="127">
    <w:abstractNumId w:val="122"/>
  </w:num>
  <w:num w:numId="128">
    <w:abstractNumId w:val="123"/>
  </w:num>
  <w:num w:numId="129">
    <w:abstractNumId w:val="124"/>
  </w:num>
  <w:num w:numId="130">
    <w:abstractNumId w:val="125"/>
  </w:num>
  <w:num w:numId="131">
    <w:abstractNumId w:val="126"/>
  </w:num>
  <w:num w:numId="132">
    <w:abstractNumId w:val="127"/>
  </w:num>
  <w:num w:numId="133">
    <w:abstractNumId w:val="128"/>
  </w:num>
  <w:num w:numId="134">
    <w:abstractNumId w:val="129"/>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efaultTableStyle w:val="38"/>
  <w:drawingGridHorizontalSpacing w:val="513"/>
  <w:drawingGridVerticalSpacing w:val="182"/>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rFonts w:ascii="ＭＳ 明朝" w:hAnsi="ＭＳ 明朝"/>
      <w:kern w:val="2"/>
      <w:sz w:val="24"/>
    </w:rPr>
  </w:style>
  <w:style w:type="paragraph" w:styleId="1">
    <w:name w:val="heading 1"/>
    <w:basedOn w:val="0"/>
    <w:next w:val="0"/>
    <w:link w:val="0"/>
    <w:uiPriority w:val="0"/>
    <w:qFormat/>
    <w:pPr>
      <w:keepNext w:val="1"/>
      <w:outlineLvl w:val="0"/>
    </w:pPr>
    <w:rPr>
      <w:rFonts w:ascii="Arial" w:hAnsi="Arial" w:eastAsia="ＭＳ ゴシック"/>
    </w:rPr>
  </w:style>
  <w:style w:type="paragraph" w:styleId="2">
    <w:name w:val="heading 2"/>
    <w:basedOn w:val="0"/>
    <w:next w:val="0"/>
    <w:link w:val="15"/>
    <w:uiPriority w:val="0"/>
    <w:qFormat/>
    <w:pPr>
      <w:keepNext w:val="1"/>
      <w:outlineLvl w:val="1"/>
    </w:pPr>
    <w:rPr>
      <w:rFonts w:ascii="Arial" w:hAnsi="Arial" w:eastAsia="ＭＳ ゴシック"/>
    </w:rPr>
  </w:style>
  <w:style w:type="paragraph" w:styleId="3">
    <w:name w:val="heading 3"/>
    <w:basedOn w:val="0"/>
    <w:next w:val="0"/>
    <w:link w:val="0"/>
    <w:uiPriority w:val="0"/>
    <w:qFormat/>
    <w:pPr>
      <w:keepNext w:val="1"/>
      <w:ind w:left="400" w:leftChars="400"/>
      <w:outlineLvl w:val="2"/>
    </w:pPr>
    <w:rPr>
      <w:rFonts w:ascii="Arial" w:hAnsi="Arial" w:eastAsia="ＭＳ ゴシック"/>
    </w:rPr>
  </w:style>
  <w:style w:type="paragraph" w:styleId="4">
    <w:name w:val="heading 4"/>
    <w:basedOn w:val="0"/>
    <w:next w:val="0"/>
    <w:link w:val="0"/>
    <w:uiPriority w:val="0"/>
    <w:qFormat/>
    <w:pPr>
      <w:keepNext w:val="1"/>
      <w:ind w:left="400" w:leftChars="400"/>
      <w:outlineLvl w:val="3"/>
    </w:pPr>
    <w:rPr>
      <w:b w:val="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2 (文字)"/>
    <w:basedOn w:val="10"/>
    <w:next w:val="15"/>
    <w:link w:val="2"/>
    <w:uiPriority w:val="0"/>
    <w:qFormat/>
    <w:rPr>
      <w:rFonts w:ascii="Arial" w:hAnsi="Arial" w:eastAsia="ＭＳ ゴシック"/>
      <w:kern w:val="2"/>
      <w:sz w:val="24"/>
    </w:rPr>
  </w:style>
  <w:style w:type="paragraph" w:styleId="16">
    <w:name w:val="Balloon Text"/>
    <w:basedOn w:val="0"/>
    <w:next w:val="16"/>
    <w:link w:val="0"/>
    <w:uiPriority w:val="0"/>
    <w:semiHidden/>
    <w:rPr>
      <w:rFonts w:ascii="Arial" w:hAnsi="Arial" w:eastAsia="ＭＳ ゴシック"/>
      <w:sz w:val="18"/>
    </w:rPr>
  </w:style>
  <w:style w:type="paragraph" w:styleId="17">
    <w:name w:val="Body Text Indent"/>
    <w:basedOn w:val="0"/>
    <w:next w:val="17"/>
    <w:link w:val="0"/>
    <w:uiPriority w:val="0"/>
    <w:pPr>
      <w:ind w:left="239" w:leftChars="114"/>
    </w:pPr>
  </w:style>
  <w:style w:type="paragraph" w:styleId="18">
    <w:name w:val="Date"/>
    <w:basedOn w:val="0"/>
    <w:next w:val="0"/>
    <w:link w:val="0"/>
    <w:uiPriority w:val="0"/>
  </w:style>
  <w:style w:type="paragraph" w:styleId="19">
    <w:name w:val="footer"/>
    <w:basedOn w:val="0"/>
    <w:next w:val="19"/>
    <w:link w:val="0"/>
    <w:uiPriority w:val="0"/>
    <w:pPr>
      <w:tabs>
        <w:tab w:val="center" w:leader="none" w:pos="4252"/>
        <w:tab w:val="right" w:leader="none" w:pos="8504"/>
      </w:tabs>
      <w:snapToGrid w:val="0"/>
    </w:pPr>
  </w:style>
  <w:style w:type="character" w:styleId="20">
    <w:name w:val="annotation reference"/>
    <w:next w:val="20"/>
    <w:link w:val="0"/>
    <w:uiPriority w:val="0"/>
    <w:semiHidden/>
    <w:rPr>
      <w:sz w:val="18"/>
    </w:rPr>
  </w:style>
  <w:style w:type="paragraph" w:styleId="21">
    <w:name w:val="annotation text"/>
    <w:basedOn w:val="0"/>
    <w:next w:val="21"/>
    <w:link w:val="0"/>
    <w:uiPriority w:val="0"/>
    <w:semiHidden/>
    <w:pPr>
      <w:jc w:val="left"/>
    </w:pPr>
  </w:style>
  <w:style w:type="paragraph" w:styleId="22">
    <w:name w:val="Body Text"/>
    <w:basedOn w:val="0"/>
    <w:next w:val="22"/>
    <w:link w:val="23"/>
    <w:uiPriority w:val="0"/>
    <w:pPr>
      <w:spacing w:line="360" w:lineRule="exact"/>
    </w:pPr>
  </w:style>
  <w:style w:type="character" w:styleId="23" w:customStyle="1">
    <w:name w:val="本文 (文字)"/>
    <w:next w:val="23"/>
    <w:link w:val="22"/>
    <w:uiPriority w:val="0"/>
    <w:qFormat/>
    <w:rPr>
      <w:rFonts w:ascii="Century" w:hAnsi="Century" w:eastAsia="ＭＳ 明朝"/>
      <w:kern w:val="2"/>
      <w:sz w:val="24"/>
    </w:rPr>
  </w:style>
  <w:style w:type="paragraph" w:styleId="24">
    <w:name w:val="Body Text 2"/>
    <w:basedOn w:val="0"/>
    <w:next w:val="24"/>
    <w:link w:val="0"/>
    <w:uiPriority w:val="0"/>
    <w:pPr>
      <w:spacing w:line="480" w:lineRule="auto"/>
    </w:pPr>
  </w:style>
  <w:style w:type="paragraph" w:styleId="25" w:customStyle="1">
    <w:name w:val="ルポ"/>
    <w:next w:val="25"/>
    <w:link w:val="0"/>
    <w:uiPriority w:val="0"/>
    <w:qFormat/>
    <w:pPr>
      <w:widowControl w:val="0"/>
      <w:wordWrap w:val="0"/>
      <w:autoSpaceDE w:val="0"/>
      <w:autoSpaceDN w:val="0"/>
      <w:adjustRightInd w:val="0"/>
      <w:spacing w:line="410" w:lineRule="exact"/>
      <w:jc w:val="both"/>
    </w:pPr>
    <w:rPr>
      <w:rFonts w:ascii="ＭＳ 明朝" w:hAnsi="ＭＳ 明朝"/>
      <w:spacing w:val="19"/>
      <w:sz w:val="24"/>
    </w:rPr>
  </w:style>
  <w:style w:type="character" w:styleId="26">
    <w:name w:val="page number"/>
    <w:basedOn w:val="10"/>
    <w:next w:val="26"/>
    <w:link w:val="0"/>
    <w:uiPriority w:val="0"/>
  </w:style>
  <w:style w:type="paragraph" w:styleId="27">
    <w:name w:val="header"/>
    <w:basedOn w:val="0"/>
    <w:next w:val="27"/>
    <w:link w:val="0"/>
    <w:uiPriority w:val="0"/>
    <w:pPr>
      <w:tabs>
        <w:tab w:val="center" w:leader="none" w:pos="4252"/>
        <w:tab w:val="right" w:leader="none" w:pos="8504"/>
      </w:tabs>
      <w:snapToGrid w:val="0"/>
    </w:pPr>
  </w:style>
  <w:style w:type="paragraph" w:styleId="28">
    <w:name w:val="toc 2"/>
    <w:basedOn w:val="0"/>
    <w:next w:val="0"/>
    <w:link w:val="0"/>
    <w:uiPriority w:val="0"/>
    <w:pPr>
      <w:ind w:left="240" w:leftChars="100"/>
    </w:pPr>
  </w:style>
  <w:style w:type="character" w:styleId="29">
    <w:name w:val="Hyperlink"/>
    <w:basedOn w:val="10"/>
    <w:next w:val="29"/>
    <w:link w:val="0"/>
    <w:uiPriority w:val="0"/>
    <w:rPr>
      <w:color w:val="0000FF"/>
      <w:u w:val="single" w:color="auto"/>
    </w:rPr>
  </w:style>
  <w:style w:type="paragraph" w:styleId="30">
    <w:name w:val="toc 1"/>
    <w:basedOn w:val="0"/>
    <w:next w:val="0"/>
    <w:link w:val="0"/>
    <w:uiPriority w:val="0"/>
    <w:rPr>
      <w:rFonts w:eastAsia="ＭＳ ゴシック"/>
    </w:rPr>
  </w:style>
  <w:style w:type="paragraph" w:styleId="31">
    <w:name w:val="toc 3"/>
    <w:basedOn w:val="0"/>
    <w:next w:val="0"/>
    <w:link w:val="0"/>
    <w:uiPriority w:val="0"/>
    <w:pPr>
      <w:ind w:left="480" w:leftChars="200"/>
    </w:pPr>
  </w:style>
  <w:style w:type="paragraph" w:styleId="32" w:customStyle="1">
    <w:name w:val="13 pt"/>
    <w:basedOn w:val="2"/>
    <w:next w:val="32"/>
    <w:link w:val="0"/>
    <w:uiPriority w:val="0"/>
    <w:qFormat/>
    <w:rPr>
      <w:sz w:val="26"/>
      <w:u w:val="single" w:color="auto"/>
    </w:rPr>
  </w:style>
  <w:style w:type="paragraph" w:styleId="33">
    <w:name w:val="Document Map"/>
    <w:basedOn w:val="0"/>
    <w:next w:val="33"/>
    <w:link w:val="0"/>
    <w:uiPriority w:val="0"/>
    <w:semiHidden/>
    <w:pPr>
      <w:shd w:val="clear" w:color="auto" w:fill="000080"/>
    </w:pPr>
    <w:rPr>
      <w:rFonts w:ascii="Arial" w:hAnsi="Arial" w:eastAsia="ＭＳ ゴシック"/>
    </w:rPr>
  </w:style>
  <w:style w:type="character" w:styleId="34">
    <w:name w:val="footnote reference"/>
    <w:basedOn w:val="10"/>
    <w:next w:val="34"/>
    <w:link w:val="0"/>
    <w:uiPriority w:val="0"/>
    <w:semiHidden/>
    <w:rPr>
      <w:vertAlign w:val="superscript"/>
    </w:rPr>
  </w:style>
  <w:style w:type="character" w:styleId="35">
    <w:name w:val="endnote reference"/>
    <w:basedOn w:val="10"/>
    <w:next w:val="35"/>
    <w:link w:val="0"/>
    <w:uiPriority w:val="0"/>
    <w:semiHidden/>
    <w:rPr>
      <w:vertAlign w:val="superscript"/>
    </w:rPr>
  </w:style>
  <w:style w:type="paragraph" w:styleId="36">
    <w:name w:val="List Paragraph"/>
    <w:basedOn w:val="0"/>
    <w:next w:val="36"/>
    <w:link w:val="0"/>
    <w:uiPriority w:val="0"/>
    <w:qFormat/>
    <w:pPr>
      <w:ind w:left="840" w:leftChars="400"/>
    </w:pPr>
  </w:style>
  <w:style w:type="table" w:styleId="37">
    <w:name w:val="Table Grid"/>
    <w:basedOn w:val="11"/>
    <w:next w:val="37"/>
    <w:link w:val="0"/>
    <w:uiPriority w:val="0"/>
    <w:pPr>
      <w:widowControl w:val="0"/>
      <w:jc w:val="both"/>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8" w:customStyle="1">
    <w:name w:val="表（シンプル 1）"/>
    <w:basedOn w:val="11"/>
    <w:next w:val="38"/>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image" Target="media/image1.jpg" /><Relationship Id="rId9" Type="http://schemas.openxmlformats.org/officeDocument/2006/relationships/footer" Target="footer2.xml" /><Relationship Id="rId10" Type="http://schemas.openxmlformats.org/officeDocument/2006/relationships/header" Target="header2.xml" /><Relationship Id="rId11" Type="http://schemas.openxmlformats.org/officeDocument/2006/relationships/image" Target="media/image2.wmf" /><Relationship Id="rId12" Type="http://schemas.openxmlformats.org/officeDocument/2006/relationships/header" Target="header3.xml" /><Relationship Id="rId13" Type="http://schemas.openxmlformats.org/officeDocument/2006/relationships/header" Target="header4.xml" /><Relationship Id="rId14" Type="http://schemas.openxmlformats.org/officeDocument/2006/relationships/header" Target="header5.xml" /><Relationship Id="rId15" Type="http://schemas.openxmlformats.org/officeDocument/2006/relationships/image" Target="media/image3.emf" /><Relationship Id="rId16" Type="http://schemas.openxmlformats.org/officeDocument/2006/relationships/image" Target="media/image4.emf" /><Relationship Id="rId17" Type="http://schemas.openxmlformats.org/officeDocument/2006/relationships/image" Target="media/image5.emf" /><Relationship Id="rId18" Type="http://schemas.openxmlformats.org/officeDocument/2006/relationships/image" Target="media/image6.emf" /><Relationship Id="rId19" Type="http://schemas.openxmlformats.org/officeDocument/2006/relationships/image" Target="media/image7.emf" /><Relationship Id="rId20" Type="http://schemas.openxmlformats.org/officeDocument/2006/relationships/image" Target="media/image8.emf" /><Relationship Id="rId21" Type="http://schemas.openxmlformats.org/officeDocument/2006/relationships/header" Target="header6.xml" /><Relationship Id="rId22" Type="http://schemas.openxmlformats.org/officeDocument/2006/relationships/header" Target="header7.xml" /><Relationship Id="rId23" Type="http://schemas.openxmlformats.org/officeDocument/2006/relationships/header" Target="header8.xml" /><Relationship Id="rId24" Type="http://schemas.openxmlformats.org/officeDocument/2006/relationships/image" Target="media/image9.png" /><Relationship Id="rId25" Type="http://schemas.openxmlformats.org/officeDocument/2006/relationships/image" Target="media/image10.png" /><Relationship Id="rId26" Type="http://schemas.microsoft.com/office/2007/relationships/hdphoto" Target="media/hdphoto1.wdp" /><Relationship Id="rId27" Type="http://schemas.openxmlformats.org/officeDocument/2006/relationships/chart" Target="charts/chart1.xml" /><Relationship Id="rId28" Type="http://schemas.openxmlformats.org/officeDocument/2006/relationships/header" Target="header9.xml" /><Relationship Id="rId29" Type="http://schemas.openxmlformats.org/officeDocument/2006/relationships/header" Target="header10.xml" /><Relationship Id="rId30" Type="http://schemas.openxmlformats.org/officeDocument/2006/relationships/header" Target="header11.xml" /><Relationship Id="rId31" Type="http://schemas.openxmlformats.org/officeDocument/2006/relationships/header" Target="header12.xml" /><Relationship Id="rId32" Type="http://schemas.openxmlformats.org/officeDocument/2006/relationships/header" Target="header13.xml" /><Relationship Id="rId33" Type="http://schemas.openxmlformats.org/officeDocument/2006/relationships/header" Target="header14.xml" /><Relationship Id="rId34" Type="http://schemas.openxmlformats.org/officeDocument/2006/relationships/image" Target="media/image11.emf" /><Relationship Id="rId35" Type="http://schemas.openxmlformats.org/officeDocument/2006/relationships/header" Target="header15.xml" /><Relationship Id="rId36" Type="http://schemas.openxmlformats.org/officeDocument/2006/relationships/header" Target="header16.xml" /><Relationship Id="rId37" Type="http://schemas.openxmlformats.org/officeDocument/2006/relationships/header" Target="header17.xml" /><Relationship Id="rId38" Type="http://schemas.openxmlformats.org/officeDocument/2006/relationships/header" Target="header18.xml" /><Relationship Id="rId39" Type="http://schemas.openxmlformats.org/officeDocument/2006/relationships/header" Target="header19.xml" /><Relationship Id="rId40" Type="http://schemas.openxmlformats.org/officeDocument/2006/relationships/header" Target="header20.xml" /><Relationship Id="rId41" Type="http://schemas.openxmlformats.org/officeDocument/2006/relationships/footer" Target="footer3.xml" /><Relationship Id="rId42" Type="http://schemas.openxmlformats.org/officeDocument/2006/relationships/footer" Target="footer4.xml" /><Relationship Id="rId43" Type="http://schemas.openxmlformats.org/officeDocument/2006/relationships/footer" Target="footer5.xml" /><Relationship Id="rId44" Type="http://schemas.openxmlformats.org/officeDocument/2006/relationships/header" Target="header21.xml" /><Relationship Id="rId45" Type="http://schemas.openxmlformats.org/officeDocument/2006/relationships/header" Target="header22.xml" /><Relationship Id="rId46" Type="http://schemas.openxmlformats.org/officeDocument/2006/relationships/header" Target="header23.xml" /><Relationship Id="rId47" Type="http://schemas.openxmlformats.org/officeDocument/2006/relationships/image" Target="media/image12.emf" /><Relationship Id="rId48" Type="http://schemas.openxmlformats.org/officeDocument/2006/relationships/image" Target="media/image13.emf" /><Relationship Id="rId49" Type="http://schemas.openxmlformats.org/officeDocument/2006/relationships/image" Target="media/image14.png" /><Relationship Id="rId50" Type="http://schemas.openxmlformats.org/officeDocument/2006/relationships/image" Target="media/image15.emf" /><Relationship Id="rId51" Type="http://schemas.openxmlformats.org/officeDocument/2006/relationships/image" Target="media/image16.png" /><Relationship Id="rId52" Type="http://schemas.openxmlformats.org/officeDocument/2006/relationships/image" Target="media/image17.emf" /><Relationship Id="rId53" Type="http://schemas.openxmlformats.org/officeDocument/2006/relationships/image" Target="media/image18.emf" /><Relationship Id="rId54" Type="http://schemas.openxmlformats.org/officeDocument/2006/relationships/image" Target="media/image19.emf" /><Relationship Id="rId55" Type="http://schemas.openxmlformats.org/officeDocument/2006/relationships/header" Target="header24.xml" /><Relationship Id="rId56" Type="http://schemas.openxmlformats.org/officeDocument/2006/relationships/header" Target="header25.xml" /><Relationship Id="rId57" Type="http://schemas.openxmlformats.org/officeDocument/2006/relationships/header" Target="header26.xml" /><Relationship Id="rId58" Type="http://schemas.openxmlformats.org/officeDocument/2006/relationships/footer" Target="footer6.xml" /><Relationship Id="rId59" Type="http://schemas.openxmlformats.org/officeDocument/2006/relationships/footer" Target="footer7.xml" /><Relationship Id="rId60" Type="http://schemas.openxmlformats.org/officeDocument/2006/relationships/footer" Target="footer8.xml" /><Relationship Id="rId61" Type="http://schemas.openxmlformats.org/officeDocument/2006/relationships/image" Target="http://www.dinf.ne.jp/doc/japanese/resource/other/z00014/5.gif" TargetMode="External" /><Relationship Id="rId62" Type="http://schemas.openxmlformats.org/officeDocument/2006/relationships/image" Target="media/image20.png" /><Relationship Id="rId63" Type="http://schemas.openxmlformats.org/officeDocument/2006/relationships/image" Target="media/image21.jpg" /><Relationship Id="rId64" Type="http://schemas.openxmlformats.org/officeDocument/2006/relationships/image" Target="media/image22.emf" /><Relationship Id="rId65" Type="http://schemas.openxmlformats.org/officeDocument/2006/relationships/image" Target="media/image23.wmf" /><Relationship Id="rId66" Type="http://schemas.openxmlformats.org/officeDocument/2006/relationships/image" Target="media/image24.wmf" /><Relationship Id="rId67" Type="http://schemas.openxmlformats.org/officeDocument/2006/relationships/image" Target="media/image25.jpg" /><Relationship Id="rId68" Type="http://schemas.openxmlformats.org/officeDocument/2006/relationships/image" Target="media/image26.png" /><Relationship Id="rId69" Type="http://schemas.openxmlformats.org/officeDocument/2006/relationships/image" Target="media/image27.emf" /><Relationship Id="rId70" Type="http://schemas.openxmlformats.org/officeDocument/2006/relationships/image" Target="media/image28.wmf" /><Relationship Id="rId71" Type="http://schemas.openxmlformats.org/officeDocument/2006/relationships/image" Target="media/image29.wmf" /><Relationship Id="rId72" Type="http://schemas.openxmlformats.org/officeDocument/2006/relationships/image" Target="media/image30.jpg" /><Relationship Id="rId73" Type="http://schemas.openxmlformats.org/officeDocument/2006/relationships/image" Target="media/image31.wmf" /><Relationship Id="rId74" Type="http://schemas.openxmlformats.org/officeDocument/2006/relationships/image" Target="media/image32.jpg" /><Relationship Id="rId75" Type="http://schemas.openxmlformats.org/officeDocument/2006/relationships/image" Target="media/image33.jpg" /><Relationship Id="rId76" Type="http://schemas.openxmlformats.org/officeDocument/2006/relationships/image" Target="media/image34.png" /><Relationship Id="rId77" Type="http://schemas.openxmlformats.org/officeDocument/2006/relationships/footer" Target="footer9.xml" /><Relationship Id="rId78" Type="http://schemas.openxmlformats.org/officeDocument/2006/relationships/footer" Target="footer10.xml" /><Relationship Id="rId79" Type="http://schemas.openxmlformats.org/officeDocument/2006/relationships/footer" Target="footer11.xml" /><Relationship Id="rId80" Type="http://schemas.openxmlformats.org/officeDocument/2006/relationships/image" Target="media/image35.png" /><Relationship Id="rId81"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oleObject" Target="Book1" TargetMode="External" /><Relationship Id="rId2" Type="http://schemas.microsoft.com/office/2011/relationships/chartColorStyle" Target="colors1.xml" /><Relationship Id="rId3" Type="http://schemas.microsoft.com/office/2011/relationships/chartStyle" Target="style1.xm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400" b="0" i="0" u="none" strike="noStrike" kern="1200" spc="0" baseline="0">
                <a:solidFill>
                  <a:schemeClr val="tx1">
                    <a:lumMod val="65000"/>
                    <a:lumOff val="35000"/>
                  </a:schemeClr>
                </a:solidFill>
                <a:latin typeface="+mn-lt"/>
                <a:ea typeface="+mn-ea"/>
                <a:cs typeface="+mn-cs"/>
              </a:defRPr>
            </a:pPr>
            <a:r>
              <a:rPr kumimoji="0" lang="ja-JP" altLang="en-US" sz="1000" b="0" i="0" u="none" strike="noStrike" kern="1200" spc="0" baseline="0">
                <a:solidFill>
                  <a:sysClr val="windowText" lastClr="000000"/>
                </a:solidFill>
                <a:latin typeface="ＭＳ 明朝"/>
                <a:ea typeface="ＭＳ 明朝"/>
                <a:cs typeface="+mn-cs"/>
              </a:rPr>
              <a:t>家庭で実</a:t>
            </a:r>
            <a:r>
              <a:rPr kumimoji="0" lang="ja-JP" altLang="en-US" sz="1000" b="0" i="0" u="none" strike="noStrike" kern="1200" spc="0" baseline="0">
                <a:solidFill>
                  <a:sysClr val="windowText" lastClr="000000"/>
                </a:solidFill>
                <a:latin typeface="ＭＳ 明朝"/>
                <a:ea typeface="ＭＳ 明朝"/>
                <a:cs typeface="+mn-cs"/>
              </a:rPr>
              <a:t>施している主な医</a:t>
            </a:r>
            <a:r>
              <a:rPr kumimoji="0" lang="ja-JP" altLang="en-US" sz="1000" b="0" i="0" u="none" strike="noStrike" kern="1200" spc="0" baseline="0">
                <a:solidFill>
                  <a:sysClr val="windowText" lastClr="000000"/>
                </a:solidFill>
                <a:latin typeface="ＭＳ 明朝"/>
                <a:ea typeface="ＭＳ 明朝"/>
                <a:cs typeface="+mn-cs"/>
              </a:rPr>
              <a:t>療的ケア</a:t>
            </a:r>
            <a:endParaRPr kumimoji="0" lang="ja-JP" altLang="en-US" sz="1000" b="0" i="0" u="none" strike="noStrike" kern="1200" spc="0" baseline="0">
              <a:solidFill>
                <a:schemeClr val="tx1">
                  <a:lumMod val="65000"/>
                  <a:lumOff val="35000"/>
                </a:schemeClr>
              </a:solidFill>
              <a:latin typeface="+mn-lt"/>
              <a:ea typeface="+mn-ea"/>
              <a:cs typeface="+mn-cs"/>
            </a:endParaRP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明朝"/>
                    <a:ea typeface="ＭＳ 明朝"/>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Sheet1!$B$4:$B$11</c:f>
              <c:strCache>
                <c:ptCount val="8"/>
                <c:pt idx="0">
                  <c:v>医療的ケアはしていない</c:v>
                </c:pt>
                <c:pt idx="1">
                  <c:v>定期的な体位変換</c:v>
                </c:pt>
                <c:pt idx="2">
                  <c:v>てんかん発作時の処置</c:v>
                </c:pt>
                <c:pt idx="3">
                  <c:v>経管栄養</c:v>
                </c:pt>
                <c:pt idx="4">
                  <c:v>吸引（気管・鼻腔・口腔）</c:v>
                </c:pt>
                <c:pt idx="5">
                  <c:v>在宅酸素</c:v>
                </c:pt>
                <c:pt idx="6">
                  <c:v>気管切開の手当</c:v>
                </c:pt>
                <c:pt idx="7">
                  <c:v>人工呼吸器管理</c:v>
                </c:pt>
              </c:strCache>
            </c:strRef>
          </c:cat>
          <c:val>
            <c:numRef>
              <c:f>[Book1]Sheet1!$C$4:$C$11</c:f>
              <c:numCache>
                <c:formatCode>General</c:formatCode>
                <c:ptCount val="8"/>
                <c:pt idx="0" formatCode="0.0_ ">
                  <c:v>41</c:v>
                </c:pt>
                <c:pt idx="1">
                  <c:v>16.399999999999999</c:v>
                </c:pt>
                <c:pt idx="2">
                  <c:v>27.5</c:v>
                </c:pt>
                <c:pt idx="3">
                  <c:v>24.6</c:v>
                </c:pt>
                <c:pt idx="4">
                  <c:v>24.6</c:v>
                </c:pt>
                <c:pt idx="5">
                  <c:v>9.8000000000000007</c:v>
                </c:pt>
                <c:pt idx="6">
                  <c:v>9.8000000000000007</c:v>
                </c:pt>
                <c:pt idx="7">
                  <c:v>6.4</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gapWidth val="150"/>
        <c:overlap val="0"/>
        <c:axId val="1"/>
        <c:axId val="2"/>
      </c:barChart>
      <c:catAx>
        <c:axId val="1"/>
        <c:scaling>
          <c:orientation val="minMax"/>
        </c:scaling>
        <c:delete val="0"/>
        <c:axPos val="l"/>
        <c:numFmt formatCode="0.0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800" kern="1200">
                <a:solidFill>
                  <a:sysClr val="windowText" lastClr="000000"/>
                </a:solidFill>
                <a:latin typeface="ＭＳ 明朝"/>
                <a:ea typeface="ＭＳ 明朝"/>
                <a:cs typeface="+mn-cs"/>
              </a:defRPr>
            </a:pPr>
            <a:endParaRPr lang="ja-JP" altLang="en-US"/>
          </a:p>
        </c:txPr>
        <c:crossAx val="2"/>
        <c:crosses val="autoZero"/>
        <c:auto val="1"/>
        <c:lblAlgn val="ctr"/>
        <c:lblOffset val="100"/>
        <c:noMultiLvlLbl val="0"/>
      </c:catAx>
      <c:valAx>
        <c:axId val="2"/>
        <c:scaling>
          <c:orientation val="minMax"/>
          <c:max val="50"/>
          <c:min val="0"/>
        </c:scaling>
        <c:delete val="0"/>
        <c:axPos val="b"/>
        <c:majorGridlines>
          <c:spPr>
            <a:noFill/>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明朝"/>
                <a:ea typeface="ＭＳ 明朝"/>
                <a:cs typeface="+mn-cs"/>
              </a:defRPr>
            </a:pPr>
            <a:endParaRPr lang="ja-JP" altLang="en-US"/>
          </a:p>
        </c:txPr>
        <c:crossAx val="1"/>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olors1.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a="http://schemas.openxmlformats.org/drawingml/2006/main" xmlns:cs="http://schemas.microsoft.com/office/drawing/2012/chartStyle"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1551</TotalTime>
  <Pages>130</Pages>
  <Words>1411</Words>
  <Characters>90537</Characters>
  <Application>Microsoft Office Word</Application>
  <Lines>102051</Lines>
  <Paragraphs>2324</Paragraphs>
  <Company>静岡県</Company>
  <CharactersWithSpaces>91640</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第３次静岡県障害者計画案</dc:title>
  <dc:creator>大石　崇</dc:creator>
  <cp:lastModifiedBy>大石　崇</cp:lastModifiedBy>
  <cp:lastPrinted>2022-03-29T08:04:41Z</cp:lastPrinted>
  <dcterms:created xsi:type="dcterms:W3CDTF">2022-01-02T09:13:00Z</dcterms:created>
  <dcterms:modified xsi:type="dcterms:W3CDTF">2022-03-29T03:29:15Z</dcterms:modified>
  <cp:revision>58</cp:revision>
</cp:coreProperties>
</file>