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要領様式第４号</w:t>
      </w:r>
    </w:p>
    <w:p>
      <w:pPr>
        <w:pStyle w:val="0"/>
        <w:overflowPunct w:val="1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省エネ住宅新築等事業事前着手届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静岡県知事　氏　　名　様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Chars="0" w:right="840" w:rightChars="400" w:firstLine="4620" w:firstLineChars="19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105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overflowPunct w:val="1"/>
        <w:ind w:leftChars="0" w:right="840" w:rightChars="400" w:firstLine="5670" w:firstLineChars="12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="210" w:hanging="21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省エネ住宅新築等事業について、別記条件を了承の上、下記のとおり交付決定前に着手したいので届け出ます。</w:t>
      </w:r>
    </w:p>
    <w:p>
      <w:pPr>
        <w:pStyle w:val="0"/>
        <w:overflowPunct w:val="1"/>
        <w:ind w:left="210" w:hanging="210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="210" w:hanging="21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事　業　名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事前着手の理由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事前着手予定日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　新築（購入）する住宅の建築場所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none"/>
        </w:rPr>
        <w:t>　　　　</w:t>
      </w:r>
      <w:r>
        <w:rPr>
          <w:rFonts w:hint="eastAsia" w:ascii="ＭＳ 明朝" w:hAnsi="ＭＳ 明朝" w:eastAsia="ＭＳ 明朝"/>
          <w:sz w:val="24"/>
          <w:u w:val="none" w:color="auto"/>
        </w:rPr>
        <w:t>静岡県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別記条件</w:t>
      </w:r>
    </w:p>
    <w:p>
      <w:pPr>
        <w:pStyle w:val="0"/>
        <w:overflowPunct w:val="1"/>
        <w:ind w:left="964" w:leftChars="200" w:hanging="482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工事着手前に必ず交付申請書を提出すること。</w:t>
      </w:r>
    </w:p>
    <w:p>
      <w:pPr>
        <w:pStyle w:val="0"/>
        <w:ind w:left="900" w:leftChars="20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本事業については、補助金交付申請日から交付決定を受けるまでの間において、計画内容の変更を行わないこと。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211</Characters>
  <Application>JUST Note</Application>
  <Lines>38</Lines>
  <Paragraphs>17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悠</dc:creator>
  <cp:lastModifiedBy>中村　悠</cp:lastModifiedBy>
  <dcterms:created xsi:type="dcterms:W3CDTF">2024-05-13T05:42:00Z</dcterms:created>
  <dcterms:modified xsi:type="dcterms:W3CDTF">2024-07-01T01:47:12Z</dcterms:modified>
  <cp:revision>0</cp:revision>
</cp:coreProperties>
</file>